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836BE80" w:rsidR="00E90E49" w:rsidRPr="00CE0424" w:rsidRDefault="00B35E7C" w:rsidP="00E35559">
      <w:pPr>
        <w:pStyle w:val="3GPPHeader"/>
        <w:spacing w:after="60"/>
        <w:rPr>
          <w:sz w:val="32"/>
          <w:szCs w:val="32"/>
          <w:highlight w:val="yellow"/>
        </w:rPr>
      </w:pPr>
      <w:r>
        <w:t>3GPP TSG-RAN WG2 Meeting #121bis-e</w:t>
      </w:r>
      <w:r w:rsidR="00E90E49" w:rsidRPr="00CE0424">
        <w:tab/>
      </w:r>
      <w:r w:rsidR="00F85BCA" w:rsidRPr="00F85BCA">
        <w:rPr>
          <w:sz w:val="32"/>
          <w:szCs w:val="32"/>
        </w:rPr>
        <w:t>R2-2303706</w:t>
      </w:r>
    </w:p>
    <w:p w14:paraId="0CE7B7E6" w14:textId="62F46D7A" w:rsidR="00E90E49" w:rsidRPr="00722EAC" w:rsidRDefault="00B35E7C" w:rsidP="00311702">
      <w:pPr>
        <w:pStyle w:val="3GPPHeader"/>
        <w:rPr>
          <w:lang w:val="en-US"/>
        </w:rPr>
      </w:pPr>
      <w:r>
        <w:t>Online</w:t>
      </w:r>
      <w:r w:rsidRPr="00D53AC8">
        <w:t>,</w:t>
      </w:r>
      <w:r>
        <w:t xml:space="preserve"> April</w:t>
      </w:r>
      <w:r w:rsidRPr="00CA145E">
        <w:t xml:space="preserve"> </w:t>
      </w:r>
      <w:r>
        <w:t>17</w:t>
      </w:r>
      <w:r w:rsidRPr="00CA145E">
        <w:rPr>
          <w:vertAlign w:val="superscript"/>
        </w:rPr>
        <w:t>th</w:t>
      </w:r>
      <w:r w:rsidRPr="00CA145E">
        <w:t xml:space="preserve"> – </w:t>
      </w:r>
      <w:r>
        <w:t>2</w:t>
      </w:r>
      <w:r w:rsidR="002F398A">
        <w:t>6</w:t>
      </w:r>
      <w:r w:rsidRPr="004525F7">
        <w:rPr>
          <w:vertAlign w:val="superscript"/>
        </w:rPr>
        <w:t>th</w:t>
      </w:r>
      <w:r w:rsidRPr="00CA145E">
        <w:t xml:space="preserve">, </w:t>
      </w:r>
      <w:r w:rsidRPr="002E0F3C">
        <w:t>202</w:t>
      </w:r>
      <w:r>
        <w:t>3</w:t>
      </w:r>
    </w:p>
    <w:p w14:paraId="3086AC07" w14:textId="77777777" w:rsidR="00E90E49" w:rsidRPr="00CE0424" w:rsidRDefault="00E90E49" w:rsidP="00357380">
      <w:pPr>
        <w:pStyle w:val="3GPPHeader"/>
      </w:pPr>
    </w:p>
    <w:p w14:paraId="3982483C" w14:textId="6941DF27" w:rsidR="00E90E49" w:rsidRPr="00D14219" w:rsidRDefault="00E90E49" w:rsidP="00311702">
      <w:pPr>
        <w:pStyle w:val="3GPPHeader"/>
        <w:rPr>
          <w:sz w:val="22"/>
          <w:lang w:val="en-US"/>
        </w:rPr>
      </w:pPr>
      <w:r w:rsidRPr="00E60D85">
        <w:rPr>
          <w:sz w:val="22"/>
        </w:rPr>
        <w:t>Agenda Item:</w:t>
      </w:r>
      <w:r w:rsidRPr="00E60D85">
        <w:rPr>
          <w:sz w:val="22"/>
        </w:rPr>
        <w:tab/>
      </w:r>
      <w:r w:rsidR="002F398A">
        <w:rPr>
          <w:sz w:val="22"/>
          <w:lang w:val="en-US"/>
        </w:rPr>
        <w:t>7</w:t>
      </w:r>
      <w:r w:rsidR="00063AE5">
        <w:rPr>
          <w:sz w:val="22"/>
          <w:lang w:val="en-US"/>
        </w:rPr>
        <w:t>.2.5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D1D4A6E" w:rsidR="00633732" w:rsidRDefault="003D3C45" w:rsidP="002F398A">
      <w:pPr>
        <w:pStyle w:val="3GPPHeader"/>
        <w:ind w:left="1700" w:hanging="1700"/>
        <w:rPr>
          <w:sz w:val="22"/>
        </w:rPr>
      </w:pPr>
      <w:r>
        <w:rPr>
          <w:sz w:val="22"/>
        </w:rPr>
        <w:t>Title:</w:t>
      </w:r>
      <w:r w:rsidR="00E90E49" w:rsidRPr="00CE0424">
        <w:rPr>
          <w:sz w:val="22"/>
        </w:rPr>
        <w:tab/>
      </w:r>
      <w:r w:rsidR="002F398A">
        <w:rPr>
          <w:sz w:val="22"/>
        </w:rPr>
        <w:tab/>
      </w:r>
      <w:proofErr w:type="spellStart"/>
      <w:r w:rsidR="002D7F1B" w:rsidRPr="002D7F1B">
        <w:rPr>
          <w:sz w:val="22"/>
        </w:rPr>
        <w:t>RedCap</w:t>
      </w:r>
      <w:proofErr w:type="spellEnd"/>
      <w:r w:rsidR="002D7F1B" w:rsidRPr="002D7F1B">
        <w:rPr>
          <w:sz w:val="22"/>
        </w:rPr>
        <w:t xml:space="preserve"> positioning, carrier phase positioning, and </w:t>
      </w:r>
      <w:bookmarkStart w:id="0" w:name="_Hlk127456451"/>
      <w:r w:rsidR="002D7F1B" w:rsidRPr="002D7F1B">
        <w:rPr>
          <w:sz w:val="22"/>
        </w:rPr>
        <w:t>bandwidth aggregation for positioning</w:t>
      </w:r>
      <w:bookmarkEnd w:id="0"/>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7325A404" w14:textId="6A110619"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sidR="00A806C9">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1" w:name="_Hlk127454600"/>
      <w:r w:rsidRPr="00C123DA">
        <w:rPr>
          <w:szCs w:val="20"/>
          <w:lang w:eastAsia="ja-JP"/>
        </w:rPr>
        <w:t>reduced capability (</w:t>
      </w:r>
      <w:proofErr w:type="spellStart"/>
      <w:r w:rsidRPr="00C123DA">
        <w:rPr>
          <w:szCs w:val="20"/>
          <w:lang w:eastAsia="ja-JP"/>
        </w:rPr>
        <w:t>RedCap</w:t>
      </w:r>
      <w:proofErr w:type="spellEnd"/>
      <w:r w:rsidRPr="00C123DA">
        <w:rPr>
          <w:szCs w:val="20"/>
          <w:lang w:eastAsia="ja-JP"/>
        </w:rPr>
        <w:t>) positioning</w:t>
      </w:r>
      <w:r w:rsidR="00A40F44">
        <w:rPr>
          <w:szCs w:val="20"/>
          <w:lang w:eastAsia="ja-JP"/>
        </w:rPr>
        <w:t xml:space="preserve">, </w:t>
      </w:r>
      <w:bookmarkStart w:id="2" w:name="_Hlk127456419"/>
      <w:r w:rsidR="00A40F44" w:rsidRPr="00A40F44">
        <w:rPr>
          <w:szCs w:val="20"/>
          <w:lang w:eastAsia="ja-JP"/>
        </w:rPr>
        <w:t>carrier phase positioning</w:t>
      </w:r>
      <w:bookmarkEnd w:id="2"/>
      <w:r w:rsidR="00A40F44" w:rsidRPr="00A40F44">
        <w:rPr>
          <w:szCs w:val="20"/>
          <w:lang w:eastAsia="ja-JP"/>
        </w:rPr>
        <w:t>, and bandwidth aggregation for positioning</w:t>
      </w:r>
      <w:bookmarkEnd w:id="1"/>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rsidP="00CA7F59">
            <w:pPr>
              <w:numPr>
                <w:ilvl w:val="0"/>
                <w:numId w:val="33"/>
              </w:numPr>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03824B5E" w14:textId="77777777" w:rsidR="001D268C" w:rsidRDefault="001D268C" w:rsidP="00CA7F59">
            <w:pPr>
              <w:numPr>
                <w:ilvl w:val="1"/>
                <w:numId w:val="33"/>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rsidP="00CA7F59">
            <w:pPr>
              <w:numPr>
                <w:ilvl w:val="2"/>
                <w:numId w:val="33"/>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32BCFDE0" w14:textId="13ECCF67" w:rsidR="001D268C" w:rsidRDefault="001D268C" w:rsidP="00CA7F59">
            <w:pPr>
              <w:numPr>
                <w:ilvl w:val="1"/>
                <w:numId w:val="33"/>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rsidP="00CA7F59">
            <w:pPr>
              <w:numPr>
                <w:ilvl w:val="0"/>
                <w:numId w:val="33"/>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125864E6" w14:textId="77777777" w:rsidR="004B0A9F" w:rsidRPr="00887AD7" w:rsidRDefault="004B0A9F" w:rsidP="00CA7F59">
            <w:pPr>
              <w:numPr>
                <w:ilvl w:val="1"/>
                <w:numId w:val="33"/>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rsidP="00CA7F59">
            <w:pPr>
              <w:numPr>
                <w:ilvl w:val="1"/>
                <w:numId w:val="33"/>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rsidP="00CA7F59">
            <w:pPr>
              <w:numPr>
                <w:ilvl w:val="0"/>
                <w:numId w:val="33"/>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rsidP="00CA7F59">
            <w:pPr>
              <w:numPr>
                <w:ilvl w:val="1"/>
                <w:numId w:val="33"/>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rsidP="00CA7F59">
            <w:pPr>
              <w:numPr>
                <w:ilvl w:val="2"/>
                <w:numId w:val="33"/>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C123DA" w:rsidRDefault="00214FCF" w:rsidP="00222CC7">
      <w:pPr>
        <w:jc w:val="both"/>
        <w:rPr>
          <w:szCs w:val="20"/>
          <w:lang w:eastAsia="ja-JP"/>
        </w:rPr>
      </w:pPr>
      <w:r w:rsidRPr="00C123DA">
        <w:rPr>
          <w:szCs w:val="20"/>
          <w:lang w:eastAsia="ja-JP"/>
        </w:rPr>
        <w:lastRenderedPageBreak/>
        <w:t xml:space="preserve">In this </w:t>
      </w:r>
      <w:r w:rsidR="00403233" w:rsidRPr="00C123DA">
        <w:rPr>
          <w:szCs w:val="20"/>
          <w:lang w:eastAsia="ja-JP"/>
        </w:rPr>
        <w:t>contribution</w:t>
      </w:r>
      <w:r w:rsidRPr="00C123DA">
        <w:rPr>
          <w:szCs w:val="20"/>
          <w:lang w:eastAsia="ja-JP"/>
        </w:rPr>
        <w:t xml:space="preserve">, </w:t>
      </w:r>
      <w:r w:rsidR="003F0E13" w:rsidRPr="003F0E13">
        <w:rPr>
          <w:szCs w:val="20"/>
          <w:lang w:eastAsia="ja-JP"/>
        </w:rPr>
        <w:t xml:space="preserve">we give our view on the possible LPP signaling </w:t>
      </w:r>
      <w:r w:rsidR="008C39A0" w:rsidRPr="008C39A0">
        <w:rPr>
          <w:szCs w:val="20"/>
          <w:lang w:val="en-US" w:eastAsia="ja-JP"/>
        </w:rPr>
        <w:t>on</w:t>
      </w:r>
      <w:r w:rsidR="00403233" w:rsidRPr="00C123DA">
        <w:rPr>
          <w:szCs w:val="20"/>
          <w:lang w:eastAsia="ja-JP"/>
        </w:rPr>
        <w:t xml:space="preserve"> </w:t>
      </w:r>
      <w:proofErr w:type="spellStart"/>
      <w:r w:rsidR="0021075E" w:rsidRPr="0021075E">
        <w:rPr>
          <w:szCs w:val="20"/>
          <w:lang w:eastAsia="ja-JP"/>
        </w:rPr>
        <w:t>RedCap</w:t>
      </w:r>
      <w:proofErr w:type="spellEnd"/>
      <w:r w:rsidR="00CC2A1D">
        <w:rPr>
          <w:szCs w:val="20"/>
          <w:lang w:eastAsia="ja-JP"/>
        </w:rPr>
        <w:t xml:space="preserve"> </w:t>
      </w:r>
      <w:r w:rsidR="0021075E" w:rsidRPr="0021075E">
        <w:rPr>
          <w:szCs w:val="20"/>
          <w:lang w:eastAsia="ja-JP"/>
        </w:rPr>
        <w:t xml:space="preserve">positioning, carrier phase positioning, and bandwidth aggregation for positioning </w:t>
      </w:r>
      <w:r w:rsidR="003F5C2E">
        <w:rPr>
          <w:szCs w:val="20"/>
          <w:lang w:val="en-US" w:eastAsia="ja-JP"/>
        </w:rPr>
        <w:t>from RAN2 part of view</w:t>
      </w:r>
      <w:r w:rsidRPr="00C123DA">
        <w:rPr>
          <w:szCs w:val="20"/>
          <w:lang w:eastAsia="ja-JP"/>
        </w:rPr>
        <w:t>.</w:t>
      </w:r>
    </w:p>
    <w:p w14:paraId="6FDCA83F" w14:textId="4B0AAF95" w:rsidR="00506238" w:rsidRDefault="002A19D1" w:rsidP="00C94B76">
      <w:pPr>
        <w:pStyle w:val="Heading1"/>
        <w:rPr>
          <w:lang w:val="en-US"/>
        </w:rPr>
      </w:pPr>
      <w:r w:rsidRPr="004020BD">
        <w:rPr>
          <w:lang w:val="en-US"/>
        </w:rPr>
        <w:t>2</w:t>
      </w:r>
      <w:r w:rsidR="00506238">
        <w:rPr>
          <w:lang w:val="en-US"/>
        </w:rPr>
        <w:t xml:space="preserve">   </w:t>
      </w:r>
      <w:r w:rsidR="00FD7A8A">
        <w:rPr>
          <w:lang w:val="en-US"/>
        </w:rPr>
        <w:t>Discussion</w:t>
      </w:r>
      <w:r w:rsidR="00C94B76" w:rsidRPr="004020BD">
        <w:rPr>
          <w:lang w:val="en-US"/>
        </w:rPr>
        <w:t xml:space="preserve"> </w:t>
      </w:r>
      <w:r w:rsidR="00C94B76" w:rsidRPr="004020BD">
        <w:rPr>
          <w:lang w:val="en-US"/>
        </w:rPr>
        <w:tab/>
      </w:r>
    </w:p>
    <w:p w14:paraId="73FEB3A1" w14:textId="792CE593" w:rsidR="0021075E" w:rsidRPr="0021075E" w:rsidRDefault="006F0EF6" w:rsidP="00CC2A1D">
      <w:pPr>
        <w:pStyle w:val="Heading2"/>
        <w:rPr>
          <w:lang w:val="en-US"/>
        </w:rPr>
      </w:pPr>
      <w:r>
        <w:rPr>
          <w:lang w:val="en-US"/>
        </w:rPr>
        <w:t xml:space="preserve">2.1 </w:t>
      </w:r>
      <w:proofErr w:type="spellStart"/>
      <w:r w:rsidRPr="006F0EF6">
        <w:rPr>
          <w:lang w:val="en-US"/>
        </w:rPr>
        <w:t>RedCap</w:t>
      </w:r>
      <w:proofErr w:type="spellEnd"/>
      <w:r w:rsidRPr="006F0EF6">
        <w:rPr>
          <w:lang w:val="en-US"/>
        </w:rPr>
        <w:t xml:space="preserve"> positioning</w:t>
      </w:r>
    </w:p>
    <w:p w14:paraId="4BB4E131" w14:textId="6965AD26" w:rsidR="00B37B7C" w:rsidRPr="00C03E8C" w:rsidRDefault="0069490C" w:rsidP="0069490C">
      <w:pPr>
        <w:jc w:val="both"/>
        <w:rPr>
          <w:rFonts w:cs="Arial"/>
          <w:szCs w:val="20"/>
          <w:lang w:val="en-US"/>
        </w:rPr>
      </w:pPr>
      <w:proofErr w:type="spellStart"/>
      <w:r>
        <w:rPr>
          <w:rFonts w:cs="Arial"/>
          <w:szCs w:val="20"/>
        </w:rPr>
        <w:t>RedCap</w:t>
      </w:r>
      <w:proofErr w:type="spellEnd"/>
      <w:r>
        <w:rPr>
          <w:rFonts w:cs="Arial"/>
          <w:szCs w:val="20"/>
        </w:rPr>
        <w:t xml:space="preserve"> is designed </w:t>
      </w:r>
      <w:r w:rsidR="00B37B7C">
        <w:rPr>
          <w:rFonts w:cs="Arial"/>
          <w:szCs w:val="20"/>
          <w:lang w:val="en-US"/>
        </w:rPr>
        <w:t xml:space="preserve">for </w:t>
      </w:r>
      <w:r w:rsidRPr="00154616">
        <w:rPr>
          <w:rFonts w:cs="Arial"/>
          <w:szCs w:val="20"/>
          <w:lang w:val="en-US"/>
        </w:rPr>
        <w:t>NR</w:t>
      </w:r>
      <w:r w:rsidRPr="000A32F9">
        <w:rPr>
          <w:rFonts w:cs="Arial"/>
          <w:szCs w:val="20"/>
          <w:lang w:val="en-US"/>
        </w:rPr>
        <w:t xml:space="preserve"> IoT</w:t>
      </w:r>
      <w:r w:rsidRPr="00154616">
        <w:rPr>
          <w:rFonts w:cs="Arial"/>
          <w:szCs w:val="20"/>
          <w:lang w:val="en-US"/>
        </w:rPr>
        <w:t xml:space="preserve"> </w:t>
      </w:r>
      <w:r>
        <w:rPr>
          <w:rFonts w:cs="Arial"/>
          <w:szCs w:val="20"/>
          <w:lang w:val="en-US"/>
        </w:rPr>
        <w:t>communication</w:t>
      </w:r>
      <w:r w:rsidRPr="003D0174">
        <w:rPr>
          <w:rFonts w:cs="Arial"/>
          <w:szCs w:val="20"/>
        </w:rPr>
        <w:t xml:space="preserve"> </w:t>
      </w:r>
      <w:r w:rsidR="00B37B7C">
        <w:rPr>
          <w:rFonts w:cs="Arial"/>
          <w:szCs w:val="20"/>
          <w:lang w:val="en-US"/>
        </w:rPr>
        <w:t xml:space="preserve">to support </w:t>
      </w:r>
      <w:r w:rsidR="00B37B7C" w:rsidRPr="003D0174">
        <w:rPr>
          <w:rFonts w:cs="Arial"/>
          <w:szCs w:val="20"/>
        </w:rPr>
        <w:t>wearables (</w:t>
      </w:r>
      <w:proofErr w:type="gramStart"/>
      <w:r w:rsidR="00B37B7C" w:rsidRPr="003D0174">
        <w:rPr>
          <w:rFonts w:cs="Arial"/>
          <w:szCs w:val="20"/>
        </w:rPr>
        <w:t>e.g.</w:t>
      </w:r>
      <w:proofErr w:type="gramEnd"/>
      <w:r w:rsidR="00B37B7C" w:rsidRPr="003D0174">
        <w:rPr>
          <w:rFonts w:cs="Arial"/>
          <w:szCs w:val="20"/>
        </w:rPr>
        <w:t xml:space="preserve"> smart watches, wearable medical devices, AR/VR goggles, etc.), industrial wireless sensors</w:t>
      </w:r>
      <w:r w:rsidR="00C03E8C" w:rsidRPr="00C03E8C">
        <w:rPr>
          <w:rFonts w:cs="Arial"/>
          <w:szCs w:val="20"/>
          <w:lang w:val="en-US"/>
        </w:rPr>
        <w:t xml:space="preserve"> </w:t>
      </w:r>
      <w:r w:rsidR="00B37B7C" w:rsidRPr="003D0174">
        <w:rPr>
          <w:rFonts w:cs="Arial"/>
          <w:szCs w:val="20"/>
        </w:rPr>
        <w:t>and video surveillance</w:t>
      </w:r>
      <w:r w:rsidR="00C03E8C" w:rsidRPr="00C03E8C">
        <w:rPr>
          <w:rFonts w:cs="Arial"/>
          <w:szCs w:val="20"/>
          <w:lang w:val="en-US"/>
        </w:rPr>
        <w:t xml:space="preserve">, with the </w:t>
      </w:r>
      <w:r w:rsidR="00C03E8C">
        <w:rPr>
          <w:rFonts w:cs="Arial"/>
          <w:szCs w:val="20"/>
          <w:lang w:val="en-US"/>
        </w:rPr>
        <w:t>requirements of lower data rate than normal NR UEs but higher data rate than LTE-M and NB-IoT,</w:t>
      </w:r>
      <w:r w:rsidR="00C03E8C" w:rsidRPr="003D0174">
        <w:rPr>
          <w:rFonts w:cs="Arial"/>
          <w:szCs w:val="20"/>
        </w:rPr>
        <w:t xml:space="preserve"> </w:t>
      </w:r>
      <w:r w:rsidR="00C03E8C">
        <w:rPr>
          <w:rFonts w:cs="Arial"/>
          <w:szCs w:val="20"/>
          <w:lang w:val="en-US"/>
        </w:rPr>
        <w:t xml:space="preserve">and relatively relaxed latency requirements compared to URLLC as shown in Table 1. </w:t>
      </w:r>
    </w:p>
    <w:p w14:paraId="05FACC86" w14:textId="77777777" w:rsidR="0069490C" w:rsidRDefault="0069490C" w:rsidP="0069490C">
      <w:pPr>
        <w:jc w:val="both"/>
      </w:pPr>
      <w:r>
        <w:rPr>
          <w:rFonts w:ascii="Ericsson Hilda" w:hAnsi="Ericsson Hilda"/>
          <w:color w:val="242424"/>
          <w:shd w:val="clear" w:color="auto" w:fill="FFFFFF"/>
        </w:rPr>
        <w:t> </w:t>
      </w:r>
    </w:p>
    <w:p w14:paraId="0184EE93" w14:textId="77777777" w:rsidR="0069490C" w:rsidRPr="002F4049" w:rsidRDefault="0069490C" w:rsidP="0069490C">
      <w:pPr>
        <w:pStyle w:val="ArialText"/>
        <w:jc w:val="center"/>
        <w:rPr>
          <w:rFonts w:cs="Arial"/>
          <w:szCs w:val="20"/>
          <w:lang w:val="en-US"/>
        </w:rPr>
      </w:pPr>
      <w:r w:rsidRPr="00D16D00">
        <w:rPr>
          <w:rFonts w:cs="Arial"/>
          <w:szCs w:val="20"/>
        </w:rPr>
        <w:t xml:space="preserve">Table 1 </w:t>
      </w:r>
      <w:r>
        <w:rPr>
          <w:rFonts w:cs="Arial"/>
          <w:szCs w:val="20"/>
        </w:rPr>
        <w:t>Use cases and requirements</w:t>
      </w:r>
      <w:r w:rsidRPr="002F4049">
        <w:rPr>
          <w:rFonts w:cs="Arial"/>
          <w:szCs w:val="20"/>
          <w:lang w:val="en-US"/>
        </w:rPr>
        <w:t xml:space="preserve"> </w:t>
      </w:r>
      <w:r>
        <w:rPr>
          <w:rFonts w:cs="Arial"/>
          <w:szCs w:val="20"/>
          <w:lang w:val="en-US"/>
        </w:rPr>
        <w:t xml:space="preserve">of </w:t>
      </w:r>
      <w:proofErr w:type="spellStart"/>
      <w:r>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69490C" w:rsidRPr="005E6E4B" w14:paraId="2FE2D875" w14:textId="77777777" w:rsidTr="00E26EF9">
        <w:tc>
          <w:tcPr>
            <w:tcW w:w="1530" w:type="dxa"/>
            <w:tcBorders>
              <w:top w:val="thinThickSmallGap" w:sz="18" w:space="0" w:color="000000"/>
            </w:tcBorders>
            <w:vAlign w:val="center"/>
          </w:tcPr>
          <w:p w14:paraId="63C1323A" w14:textId="77777777" w:rsidR="0069490C" w:rsidRPr="005E6E4B" w:rsidRDefault="0069490C" w:rsidP="00E26EF9">
            <w:pPr>
              <w:pStyle w:val="ArialText"/>
              <w:jc w:val="center"/>
              <w:rPr>
                <w:rFonts w:cs="Arial"/>
                <w:sz w:val="20"/>
                <w:szCs w:val="20"/>
              </w:rPr>
            </w:pPr>
          </w:p>
        </w:tc>
        <w:tc>
          <w:tcPr>
            <w:tcW w:w="2293" w:type="dxa"/>
            <w:tcBorders>
              <w:top w:val="thinThickSmallGap" w:sz="18" w:space="0" w:color="000000"/>
            </w:tcBorders>
            <w:vAlign w:val="center"/>
          </w:tcPr>
          <w:p w14:paraId="05B0B71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676C8807"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Latency</w:t>
            </w:r>
          </w:p>
        </w:tc>
        <w:tc>
          <w:tcPr>
            <w:tcW w:w="2005" w:type="dxa"/>
            <w:tcBorders>
              <w:top w:val="thinThickSmallGap" w:sz="18" w:space="0" w:color="000000"/>
            </w:tcBorders>
            <w:vAlign w:val="center"/>
          </w:tcPr>
          <w:p w14:paraId="49AB67D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Availability/reliability</w:t>
            </w:r>
          </w:p>
        </w:tc>
        <w:tc>
          <w:tcPr>
            <w:tcW w:w="1520" w:type="dxa"/>
            <w:tcBorders>
              <w:top w:val="thinThickSmallGap" w:sz="18" w:space="0" w:color="000000"/>
            </w:tcBorders>
            <w:vAlign w:val="center"/>
          </w:tcPr>
          <w:p w14:paraId="4FBC2B4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Battery lifetime</w:t>
            </w:r>
          </w:p>
        </w:tc>
        <w:tc>
          <w:tcPr>
            <w:tcW w:w="1252" w:type="dxa"/>
            <w:tcBorders>
              <w:top w:val="thinThickSmallGap" w:sz="18" w:space="0" w:color="000000"/>
            </w:tcBorders>
            <w:vAlign w:val="center"/>
          </w:tcPr>
          <w:p w14:paraId="00D614A6"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Device size</w:t>
            </w:r>
          </w:p>
        </w:tc>
      </w:tr>
      <w:tr w:rsidR="0069490C" w:rsidRPr="005E6E4B" w14:paraId="09E3560F" w14:textId="77777777" w:rsidTr="00E26EF9">
        <w:tc>
          <w:tcPr>
            <w:tcW w:w="1530" w:type="dxa"/>
            <w:vAlign w:val="center"/>
          </w:tcPr>
          <w:p w14:paraId="2C96C42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Wearables</w:t>
            </w:r>
          </w:p>
        </w:tc>
        <w:tc>
          <w:tcPr>
            <w:tcW w:w="2293" w:type="dxa"/>
            <w:vAlign w:val="center"/>
          </w:tcPr>
          <w:p w14:paraId="2EF0656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576FC07B"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Relaxed</w:t>
            </w:r>
          </w:p>
        </w:tc>
        <w:tc>
          <w:tcPr>
            <w:tcW w:w="2005" w:type="dxa"/>
            <w:vAlign w:val="center"/>
          </w:tcPr>
          <w:p w14:paraId="75380184" w14:textId="77777777" w:rsidR="0069490C" w:rsidRPr="00A04237" w:rsidRDefault="0069490C" w:rsidP="00E26EF9">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009F0A69" w14:textId="77777777" w:rsidR="0069490C" w:rsidRPr="00A04237" w:rsidRDefault="0069490C" w:rsidP="00E26EF9">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705F0F85"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Compact form factor</w:t>
            </w:r>
          </w:p>
        </w:tc>
      </w:tr>
      <w:tr w:rsidR="0069490C" w:rsidRPr="005E6E4B" w14:paraId="22DA75CF" w14:textId="77777777" w:rsidTr="00E26EF9">
        <w:tc>
          <w:tcPr>
            <w:tcW w:w="1530" w:type="dxa"/>
            <w:vAlign w:val="center"/>
          </w:tcPr>
          <w:p w14:paraId="71693C50"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Industrial wireless sensors</w:t>
            </w:r>
          </w:p>
        </w:tc>
        <w:tc>
          <w:tcPr>
            <w:tcW w:w="2293" w:type="dxa"/>
            <w:vAlign w:val="center"/>
          </w:tcPr>
          <w:p w14:paraId="6D3BB21C"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2 Mbps</w:t>
            </w:r>
          </w:p>
        </w:tc>
        <w:tc>
          <w:tcPr>
            <w:tcW w:w="1029" w:type="dxa"/>
            <w:vAlign w:val="center"/>
          </w:tcPr>
          <w:p w14:paraId="262CCF7D"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100 ms</w:t>
            </w:r>
          </w:p>
        </w:tc>
        <w:tc>
          <w:tcPr>
            <w:tcW w:w="2005" w:type="dxa"/>
            <w:vAlign w:val="center"/>
          </w:tcPr>
          <w:p w14:paraId="2020B6DE"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w:t>
            </w:r>
          </w:p>
        </w:tc>
        <w:tc>
          <w:tcPr>
            <w:tcW w:w="1520" w:type="dxa"/>
            <w:vAlign w:val="center"/>
          </w:tcPr>
          <w:p w14:paraId="22142EED"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7B59107D" w14:textId="77777777" w:rsidR="0069490C" w:rsidRPr="005E6E4B" w:rsidRDefault="0069490C" w:rsidP="00E26EF9">
            <w:pPr>
              <w:pStyle w:val="ArialText"/>
              <w:jc w:val="center"/>
              <w:rPr>
                <w:rFonts w:cs="Arial"/>
                <w:sz w:val="20"/>
                <w:szCs w:val="20"/>
                <w:lang w:val="en-US"/>
              </w:rPr>
            </w:pPr>
            <w:r>
              <w:rPr>
                <w:rFonts w:cs="Arial"/>
                <w:sz w:val="20"/>
                <w:szCs w:val="20"/>
                <w:lang w:val="en-US"/>
              </w:rPr>
              <w:t>-</w:t>
            </w:r>
          </w:p>
        </w:tc>
      </w:tr>
      <w:tr w:rsidR="0069490C" w:rsidRPr="005E6E4B" w14:paraId="39371DA0" w14:textId="77777777" w:rsidTr="00E26EF9">
        <w:tc>
          <w:tcPr>
            <w:tcW w:w="1530" w:type="dxa"/>
            <w:tcBorders>
              <w:bottom w:val="thickThinSmallGap" w:sz="18" w:space="0" w:color="000000"/>
            </w:tcBorders>
            <w:vAlign w:val="center"/>
          </w:tcPr>
          <w:p w14:paraId="31E65D58"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Video surveillance</w:t>
            </w:r>
          </w:p>
        </w:tc>
        <w:tc>
          <w:tcPr>
            <w:tcW w:w="2293" w:type="dxa"/>
            <w:tcBorders>
              <w:bottom w:val="thickThinSmallGap" w:sz="18" w:space="0" w:color="000000"/>
            </w:tcBorders>
            <w:vAlign w:val="center"/>
          </w:tcPr>
          <w:p w14:paraId="6D97B5F5" w14:textId="77777777" w:rsidR="0069490C" w:rsidRPr="005E6E4B" w:rsidRDefault="0069490C" w:rsidP="00E26EF9">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702C72A9"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&lt; 500 ms</w:t>
            </w:r>
          </w:p>
        </w:tc>
        <w:tc>
          <w:tcPr>
            <w:tcW w:w="2005" w:type="dxa"/>
            <w:tcBorders>
              <w:bottom w:val="thickThinSmallGap" w:sz="18" w:space="0" w:color="000000"/>
            </w:tcBorders>
            <w:vAlign w:val="center"/>
          </w:tcPr>
          <w:p w14:paraId="7437A491" w14:textId="77777777" w:rsidR="0069490C" w:rsidRPr="005E6E4B" w:rsidRDefault="0069490C" w:rsidP="00E26EF9">
            <w:pPr>
              <w:pStyle w:val="ArialText"/>
              <w:jc w:val="center"/>
              <w:rPr>
                <w:rFonts w:cs="Arial"/>
                <w:sz w:val="20"/>
                <w:szCs w:val="20"/>
                <w:lang w:val="sv-SE"/>
              </w:rPr>
            </w:pPr>
            <w:r w:rsidRPr="005E6E4B">
              <w:rPr>
                <w:rFonts w:cs="Arial"/>
                <w:sz w:val="20"/>
                <w:szCs w:val="20"/>
                <w:lang w:val="sv-SE"/>
              </w:rPr>
              <w:t>99%-99.9%</w:t>
            </w:r>
          </w:p>
        </w:tc>
        <w:tc>
          <w:tcPr>
            <w:tcW w:w="1520" w:type="dxa"/>
            <w:tcBorders>
              <w:bottom w:val="thickThinSmallGap" w:sz="18" w:space="0" w:color="000000"/>
            </w:tcBorders>
            <w:vAlign w:val="center"/>
          </w:tcPr>
          <w:p w14:paraId="15B1538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4EDE1777" w14:textId="77777777" w:rsidR="0069490C" w:rsidRPr="005E6E4B" w:rsidRDefault="0069490C" w:rsidP="00E26EF9">
            <w:pPr>
              <w:pStyle w:val="ArialText"/>
              <w:jc w:val="center"/>
              <w:rPr>
                <w:rFonts w:cs="Arial"/>
                <w:sz w:val="20"/>
                <w:szCs w:val="20"/>
                <w:lang w:val="sv-SE"/>
              </w:rPr>
            </w:pPr>
            <w:r>
              <w:rPr>
                <w:rFonts w:cs="Arial"/>
                <w:sz w:val="20"/>
                <w:szCs w:val="20"/>
                <w:lang w:val="sv-SE"/>
              </w:rPr>
              <w:t>-</w:t>
            </w:r>
          </w:p>
        </w:tc>
      </w:tr>
    </w:tbl>
    <w:p w14:paraId="44EB5ECE" w14:textId="14A0DE74" w:rsidR="0069490C" w:rsidRDefault="0069490C" w:rsidP="00592367">
      <w:pPr>
        <w:pStyle w:val="ArialText"/>
        <w:rPr>
          <w:rFonts w:cs="Arial"/>
          <w:szCs w:val="20"/>
          <w:lang w:val="en-US"/>
        </w:rPr>
      </w:pPr>
    </w:p>
    <w:p w14:paraId="147D0060" w14:textId="5FEB714E" w:rsidR="002D59C2" w:rsidRPr="002D59C2" w:rsidRDefault="002D6871" w:rsidP="00592367">
      <w:pPr>
        <w:pStyle w:val="ArialText"/>
        <w:rPr>
          <w:szCs w:val="20"/>
          <w:lang w:val="en-US"/>
        </w:rPr>
      </w:pPr>
      <w:r>
        <w:rPr>
          <w:rFonts w:cs="Arial"/>
          <w:szCs w:val="20"/>
          <w:lang w:val="en-US"/>
        </w:rPr>
        <w:t xml:space="preserve">The </w:t>
      </w:r>
      <w:r w:rsidR="00C503FD">
        <w:rPr>
          <w:rFonts w:cs="Arial"/>
          <w:szCs w:val="20"/>
          <w:lang w:val="en-US"/>
        </w:rPr>
        <w:t xml:space="preserve">agreed </w:t>
      </w:r>
      <w:r w:rsidRPr="006B23F0">
        <w:rPr>
          <w:szCs w:val="20"/>
        </w:rPr>
        <w:t xml:space="preserve">target </w:t>
      </w:r>
      <w:r w:rsidRPr="002D6871">
        <w:rPr>
          <w:szCs w:val="20"/>
          <w:lang w:val="en-US"/>
        </w:rPr>
        <w:t xml:space="preserve">positioning </w:t>
      </w:r>
      <w:r w:rsidRPr="006B23F0">
        <w:rPr>
          <w:szCs w:val="20"/>
        </w:rPr>
        <w:t>accuracy requirements</w:t>
      </w:r>
      <w:r w:rsidR="00121888" w:rsidRPr="00121888">
        <w:rPr>
          <w:szCs w:val="20"/>
          <w:lang w:val="en-US"/>
        </w:rPr>
        <w:t xml:space="preserve"> </w:t>
      </w:r>
      <w:r w:rsidR="00121888">
        <w:rPr>
          <w:szCs w:val="20"/>
          <w:lang w:val="en-US"/>
        </w:rPr>
        <w:t xml:space="preserve">for </w:t>
      </w:r>
      <w:proofErr w:type="spellStart"/>
      <w:r w:rsidR="00121888">
        <w:rPr>
          <w:szCs w:val="20"/>
          <w:lang w:val="en-US"/>
        </w:rPr>
        <w:t>RedCap</w:t>
      </w:r>
      <w:proofErr w:type="spellEnd"/>
      <w:r w:rsidR="00342191">
        <w:rPr>
          <w:szCs w:val="20"/>
          <w:lang w:val="en-US"/>
        </w:rPr>
        <w:t xml:space="preserve"> in Rel-18</w:t>
      </w:r>
      <w:r w:rsidR="00121888">
        <w:rPr>
          <w:szCs w:val="20"/>
          <w:lang w:val="en-US"/>
        </w:rPr>
        <w:t xml:space="preserve"> </w:t>
      </w:r>
      <w:r w:rsidR="00F52229">
        <w:rPr>
          <w:szCs w:val="20"/>
          <w:lang w:val="en-US"/>
        </w:rPr>
        <w:t xml:space="preserve">to support these use cases with positioning functions </w:t>
      </w:r>
      <w:r w:rsidR="00121888">
        <w:rPr>
          <w:szCs w:val="20"/>
          <w:lang w:val="en-US"/>
        </w:rPr>
        <w:t>are</w:t>
      </w:r>
      <w:r w:rsidR="003F16C9">
        <w:rPr>
          <w:szCs w:val="20"/>
          <w:lang w:val="en-US"/>
        </w:rPr>
        <w:t xml:space="preserve"> </w:t>
      </w:r>
      <w:r w:rsidR="00415067">
        <w:rPr>
          <w:szCs w:val="20"/>
          <w:lang w:val="en-US"/>
        </w:rPr>
        <w:fldChar w:fldCharType="begin"/>
      </w:r>
      <w:r w:rsidR="00415067">
        <w:rPr>
          <w:szCs w:val="20"/>
          <w:lang w:val="en-US"/>
        </w:rPr>
        <w:instrText xml:space="preserve"> REF _Ref114591830 \r \h </w:instrText>
      </w:r>
      <w:r w:rsidR="00415067">
        <w:rPr>
          <w:szCs w:val="20"/>
          <w:lang w:val="en-US"/>
        </w:rPr>
      </w:r>
      <w:r w:rsidR="00415067">
        <w:rPr>
          <w:szCs w:val="20"/>
          <w:lang w:val="en-US"/>
        </w:rPr>
        <w:fldChar w:fldCharType="separate"/>
      </w:r>
      <w:r w:rsidR="00A806C9">
        <w:rPr>
          <w:b/>
          <w:bCs/>
          <w:szCs w:val="20"/>
          <w:lang w:val="en-US"/>
        </w:rPr>
        <w:t>Error! Reference source not found.</w:t>
      </w:r>
      <w:r w:rsidR="00415067">
        <w:rPr>
          <w:szCs w:val="20"/>
          <w:lang w:val="en-US"/>
        </w:rPr>
        <w:fldChar w:fldCharType="end"/>
      </w:r>
    </w:p>
    <w:p w14:paraId="6295EFB0" w14:textId="2D192248" w:rsidR="00153DE3" w:rsidRDefault="00153DE3"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121888" w14:paraId="311CC653" w14:textId="77777777" w:rsidTr="00121888">
        <w:tc>
          <w:tcPr>
            <w:tcW w:w="9629" w:type="dxa"/>
          </w:tcPr>
          <w:p w14:paraId="37F12DBA" w14:textId="77777777" w:rsidR="00121888" w:rsidRPr="00A8323D" w:rsidRDefault="00121888" w:rsidP="00121888">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3A740EAA" w14:textId="77777777" w:rsidR="00121888" w:rsidRPr="00FD7A8A" w:rsidRDefault="00121888" w:rsidP="00121888">
            <w:pPr>
              <w:numPr>
                <w:ilvl w:val="0"/>
                <w:numId w:val="14"/>
              </w:numPr>
              <w:overflowPunct w:val="0"/>
              <w:autoSpaceDE w:val="0"/>
              <w:autoSpaceDN w:val="0"/>
              <w:adjustRightInd w:val="0"/>
              <w:jc w:val="both"/>
              <w:textAlignment w:val="baseline"/>
              <w:rPr>
                <w:bCs/>
                <w:sz w:val="20"/>
                <w:szCs w:val="20"/>
              </w:rPr>
            </w:pPr>
            <w:r w:rsidRPr="00FD7A8A">
              <w:rPr>
                <w:bCs/>
                <w:sz w:val="20"/>
                <w:szCs w:val="20"/>
              </w:rPr>
              <w:t xml:space="preserve">For the purpose of the Rel-18 study </w:t>
            </w:r>
          </w:p>
          <w:p w14:paraId="11635E49"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commercial use cases are defined as follows:</w:t>
            </w:r>
          </w:p>
          <w:p w14:paraId="2C24D7C9" w14:textId="77777777" w:rsidR="00121888" w:rsidRPr="00FD7A8A" w:rsidRDefault="00121888" w:rsidP="00121888">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1C76F584"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1AB584F9"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40BB0AE4" w14:textId="77777777" w:rsidR="00121888" w:rsidRPr="00FD7A8A" w:rsidRDefault="00121888" w:rsidP="00121888">
            <w:pPr>
              <w:numPr>
                <w:ilvl w:val="0"/>
                <w:numId w:val="26"/>
              </w:numPr>
              <w:spacing w:line="254" w:lineRule="auto"/>
              <w:rPr>
                <w:bCs/>
                <w:sz w:val="20"/>
                <w:szCs w:val="20"/>
              </w:rPr>
            </w:pPr>
            <w:r w:rsidRPr="00FD7A8A">
              <w:rPr>
                <w:bCs/>
                <w:sz w:val="20"/>
                <w:szCs w:val="20"/>
              </w:rPr>
              <w:t>The target accuracy requirements for RedCap UEs for IIoT use cases are defined as follows:</w:t>
            </w:r>
          </w:p>
          <w:p w14:paraId="629D9CC6"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UEs </w:t>
            </w:r>
          </w:p>
          <w:p w14:paraId="539450DD"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10CA0489" w14:textId="0E5D60A8" w:rsidR="00121888" w:rsidRPr="00121888" w:rsidRDefault="00121888" w:rsidP="00592367">
            <w:pPr>
              <w:numPr>
                <w:ilvl w:val="0"/>
                <w:numId w:val="26"/>
              </w:numPr>
              <w:spacing w:line="254" w:lineRule="auto"/>
              <w:rPr>
                <w:rFonts w:eastAsia="Calibri"/>
                <w:bCs/>
                <w:sz w:val="20"/>
                <w:szCs w:val="20"/>
              </w:rPr>
            </w:pPr>
            <w:r w:rsidRPr="00FD7A8A">
              <w:rPr>
                <w:bCs/>
                <w:sz w:val="20"/>
                <w:szCs w:val="20"/>
              </w:rPr>
              <w:t>Note: the requirements may not be met in all scenarios and use cases</w:t>
            </w:r>
          </w:p>
        </w:tc>
      </w:tr>
    </w:tbl>
    <w:p w14:paraId="3844FAD9" w14:textId="77777777" w:rsidR="00153DE3" w:rsidRDefault="00153DE3" w:rsidP="00592367">
      <w:pPr>
        <w:pStyle w:val="ArialText"/>
        <w:rPr>
          <w:rFonts w:cs="Arial"/>
          <w:szCs w:val="20"/>
          <w:lang w:val="en-US"/>
        </w:rPr>
      </w:pPr>
    </w:p>
    <w:p w14:paraId="79F1BBDB" w14:textId="56D875FC" w:rsidR="009417EB" w:rsidRDefault="004F7724" w:rsidP="00983931">
      <w:pPr>
        <w:pStyle w:val="ArialText"/>
        <w:rPr>
          <w:rFonts w:cs="Arial"/>
          <w:szCs w:val="20"/>
          <w:lang w:val="en-US"/>
        </w:rPr>
      </w:pPr>
      <w:r>
        <w:rPr>
          <w:rFonts w:cs="Arial"/>
          <w:szCs w:val="20"/>
          <w:lang w:val="en-US"/>
        </w:rPr>
        <w:t xml:space="preserve">To achieve these target positioning requirements for </w:t>
      </w:r>
      <w:proofErr w:type="spellStart"/>
      <w:r>
        <w:rPr>
          <w:rFonts w:cs="Arial"/>
          <w:szCs w:val="20"/>
          <w:lang w:val="en-US"/>
        </w:rPr>
        <w:t>RedCap</w:t>
      </w:r>
      <w:proofErr w:type="spellEnd"/>
      <w:r>
        <w:rPr>
          <w:rFonts w:cs="Arial"/>
          <w:szCs w:val="20"/>
          <w:lang w:val="en-US"/>
        </w:rPr>
        <w:t xml:space="preserve"> UEs, t</w:t>
      </w:r>
      <w:r w:rsidR="001B68CA">
        <w:rPr>
          <w:rFonts w:cs="Arial"/>
          <w:szCs w:val="20"/>
          <w:lang w:val="en-US"/>
        </w:rPr>
        <w:t xml:space="preserve">he </w:t>
      </w:r>
      <w:r w:rsidR="001D268C">
        <w:rPr>
          <w:rFonts w:cs="Arial"/>
          <w:szCs w:val="20"/>
          <w:lang w:val="en-US"/>
        </w:rPr>
        <w:t>recommended</w:t>
      </w:r>
      <w:r w:rsidR="001B68CA">
        <w:rPr>
          <w:rFonts w:cs="Arial"/>
          <w:szCs w:val="20"/>
          <w:lang w:val="en-US"/>
        </w:rPr>
        <w:t xml:space="preserve"> solutions</w:t>
      </w:r>
      <w:r w:rsidR="001D268C">
        <w:rPr>
          <w:rFonts w:cs="Arial"/>
          <w:szCs w:val="20"/>
          <w:lang w:val="en-US"/>
        </w:rPr>
        <w:t xml:space="preserve"> </w:t>
      </w:r>
      <w:r w:rsidR="005C01DC">
        <w:rPr>
          <w:rFonts w:cs="Arial"/>
          <w:szCs w:val="20"/>
          <w:lang w:val="en-US"/>
        </w:rPr>
        <w:t>from</w:t>
      </w:r>
      <w:r w:rsidR="001D268C">
        <w:rPr>
          <w:rFonts w:cs="Arial"/>
          <w:szCs w:val="20"/>
          <w:lang w:val="en-US"/>
        </w:rPr>
        <w:t xml:space="preserve"> the</w:t>
      </w:r>
      <w:r w:rsidR="005C01DC">
        <w:rPr>
          <w:rFonts w:cs="Arial"/>
          <w:szCs w:val="20"/>
          <w:lang w:val="en-US"/>
        </w:rPr>
        <w:t xml:space="preserve"> corresponding </w:t>
      </w:r>
      <w:r w:rsidR="001D268C">
        <w:rPr>
          <w:rFonts w:cs="Arial"/>
          <w:szCs w:val="20"/>
          <w:lang w:val="en-US"/>
        </w:rPr>
        <w:t>SI in Rel-18</w:t>
      </w:r>
      <w:r w:rsidR="001B68CA">
        <w:rPr>
          <w:rFonts w:cs="Arial"/>
          <w:szCs w:val="20"/>
          <w:lang w:val="en-US"/>
        </w:rPr>
        <w:t xml:space="preserve"> are </w:t>
      </w:r>
      <w:r w:rsidR="001D268C">
        <w:rPr>
          <w:rFonts w:cs="Arial"/>
          <w:szCs w:val="20"/>
          <w:lang w:val="en-US"/>
        </w:rPr>
        <w:t xml:space="preserve">partially overlapped </w:t>
      </w:r>
      <w:r w:rsidR="001B68CA">
        <w:rPr>
          <w:rFonts w:cs="Arial"/>
          <w:szCs w:val="20"/>
          <w:lang w:val="en-US"/>
        </w:rPr>
        <w:t xml:space="preserve">DL PRS frequency hopping </w:t>
      </w:r>
      <w:r w:rsidR="001D268C">
        <w:rPr>
          <w:rFonts w:cs="Arial"/>
          <w:szCs w:val="20"/>
          <w:lang w:val="en-US"/>
        </w:rPr>
        <w:t>and</w:t>
      </w:r>
      <w:r w:rsidR="001B68CA">
        <w:rPr>
          <w:rFonts w:cs="Arial"/>
          <w:szCs w:val="20"/>
          <w:lang w:val="en-US"/>
        </w:rPr>
        <w:t xml:space="preserve"> </w:t>
      </w:r>
      <w:r w:rsidR="001D268C">
        <w:rPr>
          <w:rFonts w:cs="Arial"/>
          <w:szCs w:val="20"/>
          <w:lang w:val="en-US"/>
        </w:rPr>
        <w:t xml:space="preserve">partially overlapped </w:t>
      </w:r>
      <w:r w:rsidR="001B68CA">
        <w:rPr>
          <w:rFonts w:cs="Arial"/>
          <w:szCs w:val="20"/>
          <w:lang w:val="en-US"/>
        </w:rPr>
        <w:t xml:space="preserve">UL SRS frequency hopping for </w:t>
      </w:r>
      <w:r w:rsidR="001D268C">
        <w:rPr>
          <w:rFonts w:cs="Arial"/>
          <w:szCs w:val="20"/>
          <w:lang w:val="en-US"/>
        </w:rPr>
        <w:t xml:space="preserve">DL-TDOA, </w:t>
      </w:r>
      <w:r w:rsidR="001B68CA">
        <w:rPr>
          <w:rFonts w:cs="Arial"/>
          <w:szCs w:val="20"/>
          <w:lang w:val="en-US"/>
        </w:rPr>
        <w:t>UL-TDOA</w:t>
      </w:r>
      <w:r w:rsidR="001D268C">
        <w:rPr>
          <w:rFonts w:cs="Arial"/>
          <w:szCs w:val="20"/>
          <w:lang w:val="en-US"/>
        </w:rPr>
        <w:t xml:space="preserve"> and </w:t>
      </w:r>
      <w:r w:rsidR="001B68CA">
        <w:rPr>
          <w:rFonts w:cs="Arial"/>
          <w:szCs w:val="20"/>
          <w:lang w:val="en-US"/>
        </w:rPr>
        <w:t>multi-RTT</w:t>
      </w:r>
      <w:r w:rsidR="003A6A23">
        <w:rPr>
          <w:rFonts w:cs="Arial"/>
          <w:szCs w:val="20"/>
          <w:lang w:val="en-US"/>
        </w:rPr>
        <w:t>.</w:t>
      </w:r>
      <w:r w:rsidR="001D268C">
        <w:rPr>
          <w:rFonts w:cs="Arial"/>
          <w:szCs w:val="20"/>
          <w:lang w:val="en-US"/>
        </w:rPr>
        <w:t xml:space="preserve"> </w:t>
      </w:r>
      <w:r w:rsidR="00542EAB">
        <w:rPr>
          <w:rFonts w:cs="Arial"/>
          <w:szCs w:val="20"/>
          <w:lang w:val="en-US"/>
        </w:rPr>
        <w:t xml:space="preserve">The partially overlapped DL PRS frequency hopping can be implemented via wideband PRS transmission </w:t>
      </w:r>
      <w:r w:rsidR="005C01DC">
        <w:rPr>
          <w:rFonts w:cs="Arial"/>
          <w:szCs w:val="20"/>
          <w:lang w:val="en-US"/>
        </w:rPr>
        <w:t>with</w:t>
      </w:r>
      <w:r w:rsidR="00542EAB">
        <w:rPr>
          <w:rFonts w:cs="Arial"/>
          <w:szCs w:val="20"/>
          <w:lang w:val="en-US"/>
        </w:rPr>
        <w:t xml:space="preserve"> narrowband PRS</w:t>
      </w:r>
      <w:r w:rsidR="005C01DC">
        <w:rPr>
          <w:rFonts w:cs="Arial"/>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Default="005C01DC" w:rsidP="00983931">
      <w:pPr>
        <w:pStyle w:val="ArialText"/>
        <w:rPr>
          <w:rFonts w:cs="Arial"/>
          <w:szCs w:val="20"/>
          <w:lang w:val="en-US"/>
        </w:rPr>
      </w:pPr>
    </w:p>
    <w:p w14:paraId="4C0290E4" w14:textId="56E45CA0" w:rsidR="00CF6525" w:rsidRDefault="002F1DAB" w:rsidP="00120B38">
      <w:pPr>
        <w:pStyle w:val="Observation"/>
        <w:rPr>
          <w:lang w:val="en-US"/>
        </w:rPr>
      </w:pPr>
      <w:bookmarkStart w:id="3" w:name="_Ref127464515"/>
      <w:bookmarkStart w:id="4" w:name="_Toc131706596"/>
      <w:r>
        <w:rPr>
          <w:lang w:val="en-US"/>
        </w:rPr>
        <w:t xml:space="preserve">The current LPP </w:t>
      </w:r>
      <w:r w:rsidR="00FB41AB">
        <w:rPr>
          <w:lang w:val="en-US"/>
        </w:rPr>
        <w:t xml:space="preserve">Capability IE does not support </w:t>
      </w:r>
      <w:r w:rsidR="003A38F2">
        <w:rPr>
          <w:lang w:val="en-US"/>
        </w:rPr>
        <w:t xml:space="preserve">UE to characterize the capabilities </w:t>
      </w:r>
      <w:r w:rsidR="00006CFC">
        <w:rPr>
          <w:lang w:val="en-US"/>
        </w:rPr>
        <w:t xml:space="preserve">of RX </w:t>
      </w:r>
      <w:r w:rsidR="00006CFC">
        <w:rPr>
          <w:rFonts w:cs="Arial"/>
          <w:szCs w:val="20"/>
          <w:lang w:val="en-US"/>
        </w:rPr>
        <w:t xml:space="preserve">frequency hopping </w:t>
      </w:r>
      <w:r w:rsidR="00E17621">
        <w:rPr>
          <w:rFonts w:cs="Arial"/>
          <w:szCs w:val="20"/>
          <w:lang w:val="en-US"/>
        </w:rPr>
        <w:t>on DL-PRS or TX frequency hopping on UL SRS.</w:t>
      </w:r>
      <w:bookmarkEnd w:id="3"/>
      <w:bookmarkEnd w:id="4"/>
      <w:r w:rsidR="00E17621">
        <w:rPr>
          <w:rFonts w:cs="Arial"/>
          <w:szCs w:val="20"/>
          <w:lang w:val="en-US"/>
        </w:rPr>
        <w:t xml:space="preserve"> </w:t>
      </w:r>
      <w:r>
        <w:rPr>
          <w:lang w:val="en-US"/>
        </w:rPr>
        <w:t xml:space="preserve"> </w:t>
      </w:r>
    </w:p>
    <w:p w14:paraId="11C2442A" w14:textId="132BFB9A" w:rsidR="00CB69D6" w:rsidRDefault="008A4F89" w:rsidP="00120B38">
      <w:pPr>
        <w:pStyle w:val="Observation"/>
        <w:rPr>
          <w:lang w:val="en-US"/>
        </w:rPr>
      </w:pPr>
      <w:bookmarkStart w:id="5" w:name="_Toc131706597"/>
      <w:r>
        <w:rPr>
          <w:lang w:val="en-US"/>
        </w:rPr>
        <w:t xml:space="preserve">For </w:t>
      </w:r>
      <w:r w:rsidRPr="008A4F89">
        <w:rPr>
          <w:lang w:val="en-US"/>
        </w:rPr>
        <w:t>UL SRS frequency</w:t>
      </w:r>
      <w:r>
        <w:rPr>
          <w:lang w:val="en-US"/>
        </w:rPr>
        <w:t xml:space="preserve"> hopping transmission, </w:t>
      </w:r>
      <w:r w:rsidR="00FE3092">
        <w:rPr>
          <w:lang w:val="en-US"/>
        </w:rPr>
        <w:t>new</w:t>
      </w:r>
      <w:r w:rsidR="00092E36">
        <w:rPr>
          <w:lang w:val="en-US"/>
        </w:rPr>
        <w:t xml:space="preserve"> or extended</w:t>
      </w:r>
      <w:r w:rsidR="000D2799">
        <w:rPr>
          <w:lang w:val="en-US"/>
        </w:rPr>
        <w:t xml:space="preserve"> </w:t>
      </w:r>
      <w:r w:rsidR="00092E36">
        <w:rPr>
          <w:lang w:val="en-US"/>
        </w:rPr>
        <w:t>signaling</w:t>
      </w:r>
      <w:r w:rsidR="00E63CEB">
        <w:rPr>
          <w:lang w:val="en-US"/>
        </w:rPr>
        <w:t xml:space="preserve"> to configure the UL SRS configuration </w:t>
      </w:r>
      <w:r w:rsidR="00092E36">
        <w:rPr>
          <w:lang w:val="en-US"/>
        </w:rPr>
        <w:t>are needed</w:t>
      </w:r>
      <w:r w:rsidR="000F213E">
        <w:rPr>
          <w:lang w:val="en-US"/>
        </w:rPr>
        <w:t xml:space="preserve"> between LMF and UE, LMF and gNB, and between UE and gNB.</w:t>
      </w:r>
      <w:bookmarkEnd w:id="5"/>
      <w:r w:rsidR="000F213E">
        <w:rPr>
          <w:lang w:val="en-US"/>
        </w:rPr>
        <w:t xml:space="preserve"> </w:t>
      </w:r>
    </w:p>
    <w:p w14:paraId="1BD3ADC2" w14:textId="78AB30F5" w:rsidR="00831021" w:rsidRDefault="000F374C" w:rsidP="00831021">
      <w:pPr>
        <w:rPr>
          <w:lang w:val="en-US"/>
        </w:rPr>
      </w:pPr>
      <w:r>
        <w:rPr>
          <w:lang w:val="en-US"/>
        </w:rPr>
        <w:lastRenderedPageBreak/>
        <w:t xml:space="preserve">There is no </w:t>
      </w:r>
      <w:r w:rsidR="00C336F7">
        <w:rPr>
          <w:lang w:val="en-US"/>
        </w:rPr>
        <w:t xml:space="preserve">explicit frequency support for </w:t>
      </w:r>
      <w:r w:rsidR="002B1962">
        <w:rPr>
          <w:lang w:val="en-US"/>
        </w:rPr>
        <w:t>NB-IoT</w:t>
      </w:r>
      <w:r w:rsidR="00831021">
        <w:rPr>
          <w:lang w:val="en-US"/>
        </w:rPr>
        <w:t xml:space="preserve">, however, </w:t>
      </w:r>
      <w:r w:rsidR="00576451">
        <w:rPr>
          <w:lang w:val="en-US"/>
        </w:rPr>
        <w:t xml:space="preserve">narrowband </w:t>
      </w:r>
      <w:r w:rsidR="00831021" w:rsidRPr="00831021">
        <w:rPr>
          <w:lang w:val="en-US"/>
        </w:rPr>
        <w:t>PRS can be separately configured on</w:t>
      </w:r>
      <w:r w:rsidR="00576451">
        <w:rPr>
          <w:lang w:val="en-US"/>
        </w:rPr>
        <w:t xml:space="preserve"> </w:t>
      </w:r>
      <w:r w:rsidR="00831021" w:rsidRPr="00831021">
        <w:rPr>
          <w:lang w:val="en-US"/>
        </w:rPr>
        <w:t>multiple NB-IoT carriers, resulting in</w:t>
      </w:r>
      <w:r w:rsidR="00576451">
        <w:rPr>
          <w:lang w:val="en-US"/>
        </w:rPr>
        <w:t xml:space="preserve"> </w:t>
      </w:r>
      <w:r w:rsidR="00831021" w:rsidRPr="00831021">
        <w:rPr>
          <w:lang w:val="en-US"/>
        </w:rPr>
        <w:t>artificial frequency hopping</w:t>
      </w:r>
      <w:r w:rsidR="00576451">
        <w:rPr>
          <w:lang w:val="en-US"/>
        </w:rPr>
        <w:t>.</w:t>
      </w:r>
    </w:p>
    <w:p w14:paraId="17C63747" w14:textId="77777777" w:rsidR="00C336F7" w:rsidRDefault="00C336F7" w:rsidP="00460D44">
      <w:pPr>
        <w:rPr>
          <w:lang w:val="en-US"/>
        </w:rPr>
      </w:pPr>
    </w:p>
    <w:p w14:paraId="77769DAE" w14:textId="4D550EFD" w:rsidR="00CF6525" w:rsidRPr="00CF6525" w:rsidRDefault="007813C0" w:rsidP="005C01DC">
      <w:pPr>
        <w:pStyle w:val="Proposal"/>
        <w:spacing w:line="259" w:lineRule="auto"/>
      </w:pPr>
      <w:bookmarkStart w:id="6" w:name="_Toc131706600"/>
      <w:r>
        <w:rPr>
          <w:lang w:val="en-US"/>
        </w:rPr>
        <w:t xml:space="preserve">RAN2 </w:t>
      </w:r>
      <w:r w:rsidR="005A67C9">
        <w:rPr>
          <w:lang w:val="en-US"/>
        </w:rPr>
        <w:t xml:space="preserve">if IEs for NB-IoT can be taken as baseline </w:t>
      </w:r>
      <w:r w:rsidR="007A53E0">
        <w:rPr>
          <w:lang w:val="en-US"/>
        </w:rPr>
        <w:t>of</w:t>
      </w:r>
      <w:r w:rsidR="00EB79B3">
        <w:rPr>
          <w:lang w:val="en-US"/>
        </w:rPr>
        <w:t xml:space="preserve"> the potential </w:t>
      </w:r>
      <w:r w:rsidR="00EA6FAF">
        <w:rPr>
          <w:lang w:val="en-US"/>
        </w:rPr>
        <w:t>signaling to support</w:t>
      </w:r>
      <w:r w:rsidR="00281C63">
        <w:rPr>
          <w:lang w:val="en-US"/>
        </w:rPr>
        <w:t xml:space="preserve"> UE </w:t>
      </w:r>
      <w:r w:rsidR="00281C63" w:rsidRPr="00281C63">
        <w:rPr>
          <w:lang w:val="en-US"/>
        </w:rPr>
        <w:t xml:space="preserve">RX frequency hopping on DL-PRS </w:t>
      </w:r>
      <w:r w:rsidR="00A208E2">
        <w:rPr>
          <w:lang w:val="en-US"/>
        </w:rPr>
        <w:t>and</w:t>
      </w:r>
      <w:r w:rsidR="00281C63" w:rsidRPr="00281C63">
        <w:rPr>
          <w:lang w:val="en-US"/>
        </w:rPr>
        <w:t xml:space="preserve"> TX frequency hopping on UL SRS</w:t>
      </w:r>
      <w:r w:rsidR="00A208E2">
        <w:rPr>
          <w:lang w:val="en-US"/>
        </w:rPr>
        <w:t>. FFS</w:t>
      </w:r>
      <w:r w:rsidR="00B221E1">
        <w:rPr>
          <w:lang w:val="en-US"/>
        </w:rPr>
        <w:t xml:space="preserve"> </w:t>
      </w:r>
      <w:r w:rsidR="00483E59">
        <w:rPr>
          <w:lang w:val="en-US"/>
        </w:rPr>
        <w:t>w</w:t>
      </w:r>
      <w:r w:rsidR="00483E59" w:rsidRPr="00483E59">
        <w:rPr>
          <w:lang w:val="en-US"/>
        </w:rPr>
        <w:t>ait for RAN1 and RAN4 progress</w:t>
      </w:r>
      <w:r w:rsidR="00CF6525">
        <w:t>.</w:t>
      </w:r>
      <w:bookmarkEnd w:id="6"/>
    </w:p>
    <w:p w14:paraId="5DF8ACF6" w14:textId="281033F5" w:rsidR="00E920D5" w:rsidRDefault="00E920D5" w:rsidP="00E920D5">
      <w:pPr>
        <w:rPr>
          <w:lang w:val="en-US" w:eastAsia="ja-JP"/>
        </w:rPr>
      </w:pPr>
    </w:p>
    <w:p w14:paraId="10A608A3" w14:textId="1B72AD6C" w:rsidR="00E920D5" w:rsidRDefault="00E920D5" w:rsidP="00E920D5">
      <w:pPr>
        <w:pStyle w:val="Heading2"/>
        <w:rPr>
          <w:lang w:val="en-US"/>
        </w:rPr>
      </w:pPr>
      <w:r>
        <w:rPr>
          <w:lang w:val="en-US"/>
        </w:rPr>
        <w:t>2.</w:t>
      </w:r>
      <w:r w:rsidR="003E7F26">
        <w:rPr>
          <w:lang w:val="en-US"/>
        </w:rPr>
        <w:t>2</w:t>
      </w:r>
      <w:r>
        <w:rPr>
          <w:lang w:val="en-US"/>
        </w:rPr>
        <w:t xml:space="preserve"> C</w:t>
      </w:r>
      <w:r w:rsidRPr="00E920D5">
        <w:rPr>
          <w:lang w:val="en-US"/>
        </w:rPr>
        <w:t>arrier phase positioning</w:t>
      </w:r>
    </w:p>
    <w:p w14:paraId="1973B711" w14:textId="5AC70103" w:rsidR="00A806C9" w:rsidRPr="00A806C9" w:rsidRDefault="00A806C9" w:rsidP="00A806C9">
      <w:pPr>
        <w:rPr>
          <w:lang w:val="en-US" w:eastAsia="ja-JP"/>
        </w:rPr>
      </w:pPr>
      <w:r>
        <w:rPr>
          <w:lang w:val="en-US" w:eastAsia="ja-JP"/>
        </w:rPr>
        <w:t>In RAN1 112 meeting, the carrier phase</w:t>
      </w:r>
      <w:r w:rsidR="0020390B">
        <w:rPr>
          <w:lang w:val="en-US" w:eastAsia="ja-JP"/>
        </w:rPr>
        <w:t xml:space="preserve"> and </w:t>
      </w:r>
      <w:r w:rsidR="0020390B" w:rsidRPr="00A64AA6">
        <w:rPr>
          <w:iCs/>
          <w:lang w:eastAsia="ja-JP"/>
        </w:rPr>
        <w:t xml:space="preserve">DL carrier phase difference </w:t>
      </w:r>
      <w:r>
        <w:rPr>
          <w:lang w:val="en-US" w:eastAsia="ja-JP"/>
        </w:rPr>
        <w:t xml:space="preserve">of </w:t>
      </w:r>
      <w:r w:rsidR="0020390B">
        <w:rPr>
          <w:lang w:val="en-US" w:eastAsia="ja-JP"/>
        </w:rPr>
        <w:t>DL reference signal and the carrier phase of UL reference signal and are defined.</w:t>
      </w:r>
    </w:p>
    <w:tbl>
      <w:tblPr>
        <w:tblStyle w:val="TableGrid"/>
        <w:tblW w:w="0" w:type="auto"/>
        <w:tblLook w:val="04A0" w:firstRow="1" w:lastRow="0" w:firstColumn="1" w:lastColumn="0" w:noHBand="0" w:noVBand="1"/>
      </w:tblPr>
      <w:tblGrid>
        <w:gridCol w:w="9629"/>
      </w:tblGrid>
      <w:tr w:rsidR="00A806C9" w14:paraId="26C339E0" w14:textId="77777777" w:rsidTr="00A806C9">
        <w:tc>
          <w:tcPr>
            <w:tcW w:w="9629" w:type="dxa"/>
          </w:tcPr>
          <w:p w14:paraId="2A901D85" w14:textId="77777777" w:rsidR="00A806C9" w:rsidRDefault="00A806C9" w:rsidP="00A806C9">
            <w:pPr>
              <w:jc w:val="both"/>
              <w:rPr>
                <w:b/>
                <w:highlight w:val="green"/>
                <w:lang w:eastAsia="x-none"/>
              </w:rPr>
            </w:pPr>
            <w:r w:rsidRPr="00E81777">
              <w:rPr>
                <w:b/>
                <w:lang w:val="en-US" w:eastAsia="x-none"/>
              </w:rPr>
              <w:t>RAN1#112</w:t>
            </w:r>
            <w:r>
              <w:rPr>
                <w:b/>
                <w:lang w:val="en-US" w:eastAsia="x-none"/>
              </w:rPr>
              <w:t>:</w:t>
            </w:r>
          </w:p>
          <w:p w14:paraId="75C942B1" w14:textId="77777777" w:rsidR="00A806C9" w:rsidRPr="004D6E93" w:rsidRDefault="00A806C9" w:rsidP="00A806C9">
            <w:pPr>
              <w:jc w:val="both"/>
              <w:rPr>
                <w:b/>
                <w:lang w:eastAsia="x-none"/>
              </w:rPr>
            </w:pPr>
            <w:r w:rsidRPr="004D6E93">
              <w:rPr>
                <w:b/>
                <w:highlight w:val="green"/>
                <w:lang w:eastAsia="x-none"/>
              </w:rPr>
              <w:t>Agreement</w:t>
            </w:r>
          </w:p>
          <w:p w14:paraId="4510762A" w14:textId="77777777" w:rsidR="00A806C9" w:rsidRPr="00D7148E" w:rsidRDefault="00A806C9" w:rsidP="00A806C9">
            <w:pPr>
              <w:jc w:val="both"/>
              <w:rPr>
                <w:iCs/>
                <w:lang w:val="en-CA"/>
              </w:rPr>
            </w:pPr>
            <w:r w:rsidRPr="00D7148E">
              <w:rPr>
                <w:iCs/>
                <w:lang w:val="en-CA"/>
              </w:rPr>
              <w:t xml:space="preserve">NR DL reference signal carrier phase (RSCP) (of </w:t>
            </w:r>
            <w:r>
              <w:rPr>
                <w:iCs/>
                <w:lang w:val="en-CA"/>
              </w:rPr>
              <w:t>i-</w:t>
            </w:r>
            <w:proofErr w:type="spellStart"/>
            <w:r>
              <w:rPr>
                <w:iCs/>
                <w:lang w:val="en-CA"/>
              </w:rPr>
              <w:t>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r>
              <w:rPr>
                <w:iCs/>
                <w:lang w:val="en-CA"/>
              </w:rPr>
              <w:t>i-</w:t>
            </w:r>
            <w:proofErr w:type="spellStart"/>
            <w:r>
              <w:rPr>
                <w:iCs/>
                <w:lang w:val="en-CA"/>
              </w:rPr>
              <w:t>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2391F876" w14:textId="77777777" w:rsidR="00A806C9" w:rsidRPr="00956D26" w:rsidRDefault="00A806C9" w:rsidP="00A806C9">
            <w:pPr>
              <w:pStyle w:val="ListParagraph"/>
              <w:numPr>
                <w:ilvl w:val="0"/>
                <w:numId w:val="37"/>
              </w:numPr>
              <w:contextualSpacing/>
              <w:jc w:val="both"/>
              <w:rPr>
                <w:iCs/>
                <w:lang w:val="en-CA"/>
              </w:rPr>
            </w:pPr>
            <w:r w:rsidRPr="00956D26">
              <w:rPr>
                <w:iCs/>
                <w:lang w:val="en-CA"/>
              </w:rPr>
              <w:t>FFS: the reference point of the RSCP</w:t>
            </w:r>
          </w:p>
          <w:p w14:paraId="31F57A1F" w14:textId="77777777" w:rsidR="00A806C9" w:rsidRDefault="00A806C9" w:rsidP="00A806C9">
            <w:pPr>
              <w:pStyle w:val="ListParagraph"/>
              <w:numPr>
                <w:ilvl w:val="0"/>
                <w:numId w:val="37"/>
              </w:numPr>
              <w:contextualSpacing/>
              <w:jc w:val="both"/>
              <w:rPr>
                <w:iCs/>
                <w:lang w:val="en-CA"/>
              </w:rPr>
            </w:pPr>
            <w:r w:rsidRPr="00473F44">
              <w:rPr>
                <w:iCs/>
                <w:lang w:val="en-CA"/>
              </w:rPr>
              <w:t>FFS</w:t>
            </w:r>
            <w:r w:rsidRPr="00956D26">
              <w:rPr>
                <w:iCs/>
                <w:lang w:val="en-CA"/>
              </w:rPr>
              <w:t>: whether</w:t>
            </w:r>
            <w:r>
              <w:rPr>
                <w:iCs/>
                <w:lang w:val="en-CA"/>
              </w:rPr>
              <w:t>/how the measurement timing is defined</w:t>
            </w:r>
          </w:p>
          <w:p w14:paraId="315AB408" w14:textId="77777777" w:rsidR="00A806C9" w:rsidRPr="00D7148E" w:rsidRDefault="00A806C9" w:rsidP="00A806C9">
            <w:pPr>
              <w:pStyle w:val="ListParagraph"/>
              <w:numPr>
                <w:ilvl w:val="0"/>
                <w:numId w:val="37"/>
              </w:numPr>
              <w:contextualSpacing/>
              <w:jc w:val="both"/>
              <w:rPr>
                <w:iCs/>
                <w:lang w:val="en-CA"/>
              </w:rPr>
            </w:pPr>
            <w:r>
              <w:rPr>
                <w:rFonts w:hint="eastAsia"/>
                <w:iCs/>
                <w:lang w:val="en-CA"/>
              </w:rPr>
              <w:t>N</w:t>
            </w:r>
            <w:r>
              <w:rPr>
                <w:iCs/>
                <w:lang w:val="en-CA"/>
              </w:rPr>
              <w:t>ote: the i-</w:t>
            </w:r>
            <w:proofErr w:type="spellStart"/>
            <w:r>
              <w:rPr>
                <w:iCs/>
                <w:lang w:val="en-CA"/>
              </w:rPr>
              <w:t>th</w:t>
            </w:r>
            <w:proofErr w:type="spellEnd"/>
            <w:r>
              <w:rPr>
                <w:iCs/>
                <w:lang w:val="en-CA"/>
              </w:rPr>
              <w:t xml:space="preserve"> path is used for the sake of definition, whether only the first path or additional paths will be supported is </w:t>
            </w:r>
            <w:r w:rsidRPr="00DC2407">
              <w:rPr>
                <w:iCs/>
                <w:lang w:val="en-CA"/>
              </w:rPr>
              <w:t>subject to further discussion</w:t>
            </w:r>
          </w:p>
          <w:p w14:paraId="7FB9564B" w14:textId="77777777" w:rsidR="00A806C9" w:rsidRDefault="00A806C9" w:rsidP="00A806C9">
            <w:pPr>
              <w:pStyle w:val="ListParagraph"/>
              <w:numPr>
                <w:ilvl w:val="0"/>
                <w:numId w:val="37"/>
              </w:numPr>
              <w:contextualSpacing/>
              <w:jc w:val="both"/>
              <w:rPr>
                <w:iCs/>
                <w:lang w:val="en-CA"/>
              </w:rPr>
            </w:pPr>
            <w:r w:rsidRPr="00D7148E">
              <w:rPr>
                <w:iCs/>
                <w:lang w:val="en-CA"/>
              </w:rPr>
              <w:t>Note: Whether to capture the above definition into TS 38.215 depends on whether RAN1 decides to introduce DL carrier phase measurement for NR CPP</w:t>
            </w:r>
          </w:p>
          <w:p w14:paraId="04306EB7" w14:textId="77777777" w:rsidR="00A806C9" w:rsidRPr="00956D26" w:rsidRDefault="00A806C9" w:rsidP="00A806C9">
            <w:pPr>
              <w:jc w:val="both"/>
              <w:rPr>
                <w:iCs/>
                <w:szCs w:val="20"/>
                <w:lang w:val="en-CA"/>
              </w:rPr>
            </w:pPr>
            <w:r w:rsidRPr="00696B6F">
              <w:rPr>
                <w:iCs/>
                <w:szCs w:val="20"/>
                <w:lang w:val="en-CA"/>
              </w:rPr>
              <w:t>NR UL reference signal carrier phase (RSCP) (of i-</w:t>
            </w:r>
            <w:proofErr w:type="spellStart"/>
            <w:r w:rsidRPr="00696B6F">
              <w:rPr>
                <w:iCs/>
                <w:szCs w:val="20"/>
                <w:lang w:val="en-CA"/>
              </w:rPr>
              <w:t>th</w:t>
            </w:r>
            <w:proofErr w:type="spellEnd"/>
            <w:r w:rsidRPr="00696B6F">
              <w:rPr>
                <w:iCs/>
                <w:szCs w:val="20"/>
                <w:lang w:val="en-CA"/>
              </w:rPr>
              <w:t xml:space="preserve"> path) is defined as the phase of the channel response at the i-</w:t>
            </w:r>
            <w:proofErr w:type="spellStart"/>
            <w:r w:rsidRPr="00696B6F">
              <w:rPr>
                <w:iCs/>
                <w:szCs w:val="20"/>
                <w:lang w:val="en-CA"/>
              </w:rPr>
              <w:t>th</w:t>
            </w:r>
            <w:proofErr w:type="spellEnd"/>
            <w:r w:rsidRPr="00696B6F">
              <w:rPr>
                <w:iCs/>
                <w:szCs w:val="20"/>
                <w:lang w:val="en-CA"/>
              </w:rPr>
              <w:t xml:space="preserve"> path delay derived from the resource elements (REs) that carry the UL SRS signal for positioning purpose </w:t>
            </w:r>
            <w:r w:rsidRPr="00956D26">
              <w:rPr>
                <w:iCs/>
                <w:szCs w:val="20"/>
                <w:lang w:val="en-CA"/>
              </w:rPr>
              <w:t>configured for the measurement. A UL RSCP is associated with a specific RF frequency.</w:t>
            </w:r>
          </w:p>
          <w:p w14:paraId="51141282" w14:textId="77777777" w:rsidR="00A806C9" w:rsidRPr="00956D26" w:rsidRDefault="00A806C9" w:rsidP="00A806C9">
            <w:pPr>
              <w:pStyle w:val="ListParagraph"/>
              <w:numPr>
                <w:ilvl w:val="0"/>
                <w:numId w:val="37"/>
              </w:numPr>
              <w:contextualSpacing/>
              <w:jc w:val="both"/>
              <w:rPr>
                <w:iCs/>
                <w:szCs w:val="20"/>
                <w:lang w:val="en-CA"/>
              </w:rPr>
            </w:pPr>
            <w:r w:rsidRPr="00956D26">
              <w:rPr>
                <w:iCs/>
                <w:szCs w:val="20"/>
                <w:lang w:val="en-CA"/>
              </w:rPr>
              <w:t>FFS: the reference point of the UL RSCP</w:t>
            </w:r>
          </w:p>
          <w:p w14:paraId="0A16EFA1" w14:textId="77777777" w:rsidR="00A806C9" w:rsidRPr="00696B6F" w:rsidRDefault="00A806C9" w:rsidP="00A806C9">
            <w:pPr>
              <w:pStyle w:val="ListParagraph"/>
              <w:numPr>
                <w:ilvl w:val="0"/>
                <w:numId w:val="37"/>
              </w:numPr>
              <w:contextualSpacing/>
              <w:jc w:val="both"/>
              <w:rPr>
                <w:iCs/>
                <w:szCs w:val="20"/>
                <w:lang w:val="en-CA"/>
              </w:rPr>
            </w:pPr>
            <w:r w:rsidRPr="00473F44">
              <w:rPr>
                <w:iCs/>
                <w:szCs w:val="20"/>
                <w:lang w:val="en-CA"/>
              </w:rPr>
              <w:t>FFS</w:t>
            </w:r>
            <w:r w:rsidRPr="00956D26">
              <w:rPr>
                <w:iCs/>
                <w:szCs w:val="20"/>
                <w:lang w:val="en-CA"/>
              </w:rPr>
              <w:t>: whether</w:t>
            </w:r>
            <w:r w:rsidRPr="00696B6F">
              <w:rPr>
                <w:iCs/>
                <w:szCs w:val="20"/>
                <w:lang w:val="en-CA"/>
              </w:rPr>
              <w:t>/how the measurement timing is defined</w:t>
            </w:r>
          </w:p>
          <w:p w14:paraId="2CF3A445" w14:textId="77777777" w:rsidR="00A806C9" w:rsidRPr="00696B6F" w:rsidRDefault="00A806C9" w:rsidP="00A806C9">
            <w:pPr>
              <w:pStyle w:val="ListParagraph"/>
              <w:numPr>
                <w:ilvl w:val="0"/>
                <w:numId w:val="37"/>
              </w:numPr>
              <w:contextualSpacing/>
              <w:jc w:val="both"/>
              <w:rPr>
                <w:iCs/>
                <w:szCs w:val="20"/>
                <w:lang w:val="en-CA"/>
              </w:rPr>
            </w:pPr>
            <w:r w:rsidRPr="00696B6F">
              <w:rPr>
                <w:rFonts w:hint="eastAsia"/>
                <w:iCs/>
                <w:szCs w:val="20"/>
                <w:lang w:val="en-CA"/>
              </w:rPr>
              <w:t>N</w:t>
            </w:r>
            <w:r w:rsidRPr="00696B6F">
              <w:rPr>
                <w:iCs/>
                <w:szCs w:val="20"/>
                <w:lang w:val="en-CA"/>
              </w:rPr>
              <w:t>ote: the i-</w:t>
            </w:r>
            <w:proofErr w:type="spellStart"/>
            <w:r w:rsidRPr="00696B6F">
              <w:rPr>
                <w:iCs/>
                <w:szCs w:val="20"/>
                <w:lang w:val="en-CA"/>
              </w:rPr>
              <w:t>th</w:t>
            </w:r>
            <w:proofErr w:type="spellEnd"/>
            <w:r w:rsidRPr="00696B6F">
              <w:rPr>
                <w:iCs/>
                <w:szCs w:val="20"/>
                <w:lang w:val="en-CA"/>
              </w:rPr>
              <w:t xml:space="preserve"> path is used for the sake of definition, whether only the first path or additional paths will be supported is </w:t>
            </w:r>
            <w:r w:rsidRPr="00DC2407">
              <w:rPr>
                <w:iCs/>
                <w:szCs w:val="20"/>
                <w:lang w:val="en-CA"/>
              </w:rPr>
              <w:t>subject to further discussion</w:t>
            </w:r>
          </w:p>
          <w:p w14:paraId="19F1A810" w14:textId="6EF4945F" w:rsidR="00A806C9" w:rsidRDefault="00A806C9" w:rsidP="00A806C9">
            <w:pPr>
              <w:pStyle w:val="ListParagraph"/>
              <w:numPr>
                <w:ilvl w:val="0"/>
                <w:numId w:val="37"/>
              </w:numPr>
              <w:contextualSpacing/>
              <w:jc w:val="both"/>
              <w:rPr>
                <w:iCs/>
                <w:szCs w:val="20"/>
                <w:lang w:val="en-CA"/>
              </w:rPr>
            </w:pPr>
            <w:r w:rsidRPr="00696B6F">
              <w:rPr>
                <w:iCs/>
                <w:szCs w:val="20"/>
                <w:lang w:val="en-CA"/>
              </w:rPr>
              <w:t>Note: The support of MIMO SRS for positioning is transparent to UE</w:t>
            </w:r>
          </w:p>
          <w:p w14:paraId="60869F1D" w14:textId="77777777" w:rsidR="0020390B" w:rsidRPr="00D42550" w:rsidRDefault="0020390B" w:rsidP="0020390B">
            <w:pPr>
              <w:rPr>
                <w:b/>
                <w:lang w:eastAsia="x-none"/>
              </w:rPr>
            </w:pPr>
            <w:r w:rsidRPr="00D42550">
              <w:rPr>
                <w:b/>
                <w:highlight w:val="green"/>
                <w:lang w:eastAsia="x-none"/>
              </w:rPr>
              <w:t>Agreement</w:t>
            </w:r>
          </w:p>
          <w:p w14:paraId="2792F96C" w14:textId="77777777" w:rsidR="0020390B" w:rsidRPr="00E66CB2" w:rsidRDefault="0020390B" w:rsidP="0020390B">
            <w:pPr>
              <w:jc w:val="both"/>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4C776E90" w14:textId="77777777" w:rsidR="0020390B" w:rsidRDefault="0020390B" w:rsidP="0020390B">
            <w:pPr>
              <w:pStyle w:val="ListParagraph"/>
              <w:numPr>
                <w:ilvl w:val="0"/>
                <w:numId w:val="37"/>
              </w:numPr>
              <w:contextualSpacing/>
              <w:jc w:val="both"/>
              <w:rPr>
                <w:iCs/>
                <w:lang w:val="en-CA"/>
              </w:rPr>
            </w:pPr>
            <w:r w:rsidRPr="009E1C36">
              <w:rPr>
                <w:rFonts w:hint="eastAsia"/>
                <w:iCs/>
                <w:lang w:val="en-CA"/>
              </w:rPr>
              <w:t>F</w:t>
            </w:r>
            <w:r w:rsidRPr="009E1C36">
              <w:rPr>
                <w:iCs/>
                <w:lang w:val="en-CA"/>
              </w:rPr>
              <w:t>FS: whether</w:t>
            </w:r>
            <w:r>
              <w:rPr>
                <w:iCs/>
                <w:lang w:val="en-CA"/>
              </w:rPr>
              <w:t xml:space="preserve">/how to define per path </w:t>
            </w:r>
            <w:r w:rsidRPr="00E66CB2">
              <w:rPr>
                <w:iCs/>
                <w:lang w:val="en-CA"/>
              </w:rPr>
              <w:t>RSCPD</w:t>
            </w:r>
          </w:p>
          <w:p w14:paraId="1CD96B59" w14:textId="77777777" w:rsidR="0020390B" w:rsidRDefault="0020390B" w:rsidP="0020390B">
            <w:pPr>
              <w:pStyle w:val="ListParagraph"/>
              <w:numPr>
                <w:ilvl w:val="0"/>
                <w:numId w:val="37"/>
              </w:numPr>
              <w:contextualSpacing/>
              <w:jc w:val="both"/>
              <w:rPr>
                <w:iCs/>
                <w:lang w:val="en-CA"/>
              </w:rPr>
            </w:pPr>
            <w:r w:rsidRPr="00E226F7">
              <w:rPr>
                <w:iCs/>
                <w:lang w:val="en-CA"/>
              </w:rPr>
              <w:t>Note: Whether/how to capture the above definition into TS 38.215 depends on whether RAN1 decides to introduce DL carrier phase difference measurement for NR CPP</w:t>
            </w:r>
          </w:p>
          <w:p w14:paraId="5BF7F16C" w14:textId="77777777" w:rsidR="0020390B" w:rsidRPr="00FF09A1" w:rsidRDefault="0020390B" w:rsidP="0020390B">
            <w:pPr>
              <w:contextualSpacing/>
              <w:jc w:val="both"/>
              <w:rPr>
                <w:iCs/>
                <w:lang w:val="en-CA"/>
              </w:rPr>
            </w:pPr>
          </w:p>
          <w:p w14:paraId="51F5AFFF" w14:textId="77777777" w:rsidR="0020390B" w:rsidRPr="00DF7A7A" w:rsidRDefault="0020390B" w:rsidP="0020390B">
            <w:pPr>
              <w:rPr>
                <w:b/>
                <w:lang w:eastAsia="x-none"/>
              </w:rPr>
            </w:pPr>
            <w:r w:rsidRPr="00DF7A7A">
              <w:rPr>
                <w:b/>
                <w:highlight w:val="green"/>
                <w:lang w:eastAsia="x-none"/>
              </w:rPr>
              <w:t>Agreement</w:t>
            </w:r>
          </w:p>
          <w:p w14:paraId="596DBBD4" w14:textId="77777777" w:rsidR="0020390B" w:rsidRPr="00A64AA6" w:rsidRDefault="0020390B" w:rsidP="0020390B">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61CB86F6" w14:textId="77777777" w:rsidR="0020390B" w:rsidRPr="00304AA4" w:rsidRDefault="0020390B" w:rsidP="0020390B">
            <w:pPr>
              <w:pStyle w:val="ListParagraph"/>
              <w:numPr>
                <w:ilvl w:val="0"/>
                <w:numId w:val="38"/>
              </w:numPr>
              <w:contextualSpacing/>
              <w:rPr>
                <w:iCs/>
                <w:lang w:eastAsia="ja-JP"/>
              </w:rPr>
            </w:pPr>
            <w:r w:rsidRPr="00A64AA6">
              <w:rPr>
                <w:iCs/>
                <w:lang w:eastAsia="ja-JP"/>
              </w:rPr>
              <w:t>DL carrier phase (CP), which is obtained by a UE measuring the DL PRS signal(s) from a TRP.</w:t>
            </w:r>
          </w:p>
          <w:p w14:paraId="58056821" w14:textId="77777777" w:rsidR="0020390B" w:rsidRPr="00A64AA6" w:rsidRDefault="0020390B" w:rsidP="0020390B">
            <w:pPr>
              <w:pStyle w:val="ListParagraph"/>
              <w:numPr>
                <w:ilvl w:val="1"/>
                <w:numId w:val="38"/>
              </w:numPr>
              <w:contextualSpacing/>
              <w:rPr>
                <w:iCs/>
                <w:lang w:eastAsia="ja-JP"/>
              </w:rPr>
            </w:pPr>
            <w:r w:rsidRPr="0020390B">
              <w:rPr>
                <w:iCs/>
                <w:lang w:eastAsia="ja-JP"/>
              </w:rPr>
              <w:t>FFS</w:t>
            </w:r>
            <w:r w:rsidRPr="00A64AA6">
              <w:rPr>
                <w:iCs/>
                <w:lang w:eastAsia="ja-JP"/>
              </w:rPr>
              <w:t>: The detailed definition of the DL CP</w:t>
            </w:r>
          </w:p>
          <w:p w14:paraId="62788EE1" w14:textId="77777777" w:rsidR="0020390B" w:rsidRPr="00A64AA6" w:rsidRDefault="0020390B" w:rsidP="0020390B">
            <w:pPr>
              <w:pStyle w:val="ListParagraph"/>
              <w:numPr>
                <w:ilvl w:val="0"/>
                <w:numId w:val="38"/>
              </w:numPr>
              <w:contextualSpacing/>
              <w:rPr>
                <w:iCs/>
                <w:lang w:eastAsia="ja-JP"/>
              </w:rPr>
            </w:pPr>
            <w:r w:rsidRPr="00A64AA6">
              <w:rPr>
                <w:iCs/>
                <w:lang w:eastAsia="ja-JP"/>
              </w:rPr>
              <w:t>DL carrier phase difference (CPD), which is the difference of two DL CPs</w:t>
            </w:r>
            <w:r>
              <w:rPr>
                <w:iCs/>
                <w:lang w:eastAsia="ja-JP"/>
              </w:rPr>
              <w:t xml:space="preserve"> from two </w:t>
            </w:r>
            <w:proofErr w:type="spellStart"/>
            <w:r>
              <w:rPr>
                <w:iCs/>
                <w:lang w:eastAsia="ja-JP"/>
              </w:rPr>
              <w:t>TRPs</w:t>
            </w:r>
            <w:proofErr w:type="spellEnd"/>
          </w:p>
          <w:p w14:paraId="460E4639" w14:textId="77777777" w:rsidR="0020390B" w:rsidRPr="00A64AA6" w:rsidRDefault="0020390B" w:rsidP="0020390B">
            <w:pPr>
              <w:pStyle w:val="ListParagraph"/>
              <w:numPr>
                <w:ilvl w:val="1"/>
                <w:numId w:val="38"/>
              </w:numPr>
              <w:contextualSpacing/>
              <w:rPr>
                <w:iCs/>
                <w:lang w:eastAsia="ja-JP"/>
              </w:rPr>
            </w:pPr>
            <w:r w:rsidRPr="0020390B">
              <w:rPr>
                <w:iCs/>
                <w:lang w:eastAsia="ja-JP"/>
              </w:rPr>
              <w:t>FFS</w:t>
            </w:r>
            <w:r w:rsidRPr="00A64AA6">
              <w:rPr>
                <w:iCs/>
                <w:lang w:eastAsia="ja-JP"/>
              </w:rPr>
              <w:t>: The detailed definition of the DL CPD</w:t>
            </w:r>
          </w:p>
          <w:p w14:paraId="2CA8D58B" w14:textId="77777777" w:rsidR="0020390B" w:rsidRPr="00A64AA6" w:rsidRDefault="0020390B" w:rsidP="0020390B">
            <w:pPr>
              <w:rPr>
                <w:iCs/>
                <w:lang w:eastAsia="ja-JP"/>
              </w:rPr>
            </w:pPr>
            <w:r w:rsidRPr="00A64AA6">
              <w:rPr>
                <w:iCs/>
                <w:lang w:eastAsia="ja-JP"/>
              </w:rPr>
              <w:t>To enable NG-RAN node-assisted NR carrier phase positioning (CPP), the following new measurement should be introduced:</w:t>
            </w:r>
          </w:p>
          <w:p w14:paraId="6415115B" w14:textId="77777777" w:rsidR="0020390B" w:rsidRPr="00A64AA6" w:rsidRDefault="0020390B" w:rsidP="0020390B">
            <w:pPr>
              <w:pStyle w:val="ListParagraph"/>
              <w:numPr>
                <w:ilvl w:val="0"/>
                <w:numId w:val="38"/>
              </w:numPr>
              <w:contextualSpacing/>
              <w:rPr>
                <w:lang w:eastAsia="ja-JP"/>
              </w:rPr>
            </w:pPr>
            <w:r w:rsidRPr="00A64AA6">
              <w:rPr>
                <w:iCs/>
                <w:lang w:eastAsia="ja-JP"/>
              </w:rPr>
              <w:t>UL carrier phase (CP), which is obtained by a TRP measuring the UL SRS for positioning or MIMO SRS from a UE.</w:t>
            </w:r>
          </w:p>
          <w:p w14:paraId="1747C46D" w14:textId="77777777" w:rsidR="0020390B" w:rsidRPr="007B2A20" w:rsidRDefault="0020390B" w:rsidP="0020390B">
            <w:pPr>
              <w:pStyle w:val="ListParagraph"/>
              <w:numPr>
                <w:ilvl w:val="1"/>
                <w:numId w:val="38"/>
              </w:numPr>
              <w:contextualSpacing/>
              <w:rPr>
                <w:iCs/>
                <w:lang w:val="en-CA"/>
              </w:rPr>
            </w:pPr>
            <w:r w:rsidRPr="0020390B">
              <w:rPr>
                <w:iCs/>
                <w:lang w:eastAsia="ja-JP"/>
              </w:rPr>
              <w:lastRenderedPageBreak/>
              <w:t>FFS</w:t>
            </w:r>
            <w:r w:rsidRPr="00A64AA6">
              <w:rPr>
                <w:iCs/>
                <w:lang w:eastAsia="ja-JP"/>
              </w:rPr>
              <w:t>: The detailed definition of the UL CP</w:t>
            </w:r>
          </w:p>
          <w:p w14:paraId="37ED0330" w14:textId="77777777" w:rsidR="0020390B" w:rsidRPr="0020390B" w:rsidRDefault="0020390B" w:rsidP="0020390B">
            <w:pPr>
              <w:contextualSpacing/>
              <w:jc w:val="both"/>
              <w:rPr>
                <w:iCs/>
                <w:szCs w:val="20"/>
                <w:lang w:val="en-CA"/>
              </w:rPr>
            </w:pPr>
          </w:p>
          <w:p w14:paraId="005061C4" w14:textId="77777777" w:rsidR="00A806C9" w:rsidRDefault="00A806C9" w:rsidP="00A5601F">
            <w:pPr>
              <w:rPr>
                <w:rFonts w:eastAsia="MS Mincho"/>
                <w:lang w:val="en-CA" w:eastAsia="ko-KR"/>
              </w:rPr>
            </w:pPr>
          </w:p>
        </w:tc>
      </w:tr>
    </w:tbl>
    <w:p w14:paraId="1B09496B" w14:textId="77D435DA" w:rsidR="00A5601F" w:rsidRPr="00A806C9" w:rsidRDefault="00A5601F" w:rsidP="00A5601F">
      <w:pPr>
        <w:rPr>
          <w:rFonts w:eastAsia="MS Mincho"/>
          <w:lang w:val="en-CA" w:eastAsia="ko-KR"/>
        </w:rPr>
      </w:pPr>
    </w:p>
    <w:p w14:paraId="2322E9EE" w14:textId="77777777" w:rsidR="00A5601F" w:rsidRPr="00A5601F" w:rsidRDefault="00A5601F" w:rsidP="00A5601F">
      <w:pPr>
        <w:rPr>
          <w:rFonts w:eastAsia="MS Mincho"/>
          <w:lang w:val="en-US" w:eastAsia="ko-KR"/>
        </w:rPr>
      </w:pPr>
    </w:p>
    <w:p w14:paraId="352FBE47" w14:textId="64D84F44" w:rsidR="00844066" w:rsidRDefault="00171DD1" w:rsidP="007E018A">
      <w:pPr>
        <w:pStyle w:val="Observation"/>
        <w:rPr>
          <w:lang w:val="en-US"/>
        </w:rPr>
      </w:pPr>
      <w:bookmarkStart w:id="7" w:name="_Toc131706598"/>
      <w:r>
        <w:t>A new</w:t>
      </w:r>
      <w:r w:rsidR="002A5BE4">
        <w:t xml:space="preserve"> carrier phase</w:t>
      </w:r>
      <w:r>
        <w:t xml:space="preserve"> IE</w:t>
      </w:r>
      <w:r w:rsidR="002A5BE4">
        <w:t xml:space="preserve"> </w:t>
      </w:r>
      <w:r>
        <w:t xml:space="preserve">needs to be defined </w:t>
      </w:r>
      <w:r w:rsidR="00820900">
        <w:t xml:space="preserve">for the measurement </w:t>
      </w:r>
      <w:r w:rsidR="00607768">
        <w:t xml:space="preserve">report in LPP, </w:t>
      </w:r>
      <w:r w:rsidR="00844066">
        <w:t xml:space="preserve">and </w:t>
      </w:r>
      <w:bookmarkStart w:id="8" w:name="_Toc127277527"/>
      <w:r w:rsidR="00844066">
        <w:rPr>
          <w:lang w:val="en-US"/>
        </w:rPr>
        <w:t xml:space="preserve">the carrier phase of the first </w:t>
      </w:r>
      <w:r w:rsidR="00A5601F">
        <w:rPr>
          <w:lang w:val="en-US"/>
        </w:rPr>
        <w:t xml:space="preserve">detected </w:t>
      </w:r>
      <w:r w:rsidR="00844066">
        <w:rPr>
          <w:lang w:val="en-US"/>
        </w:rPr>
        <w:t>path shall be reported.</w:t>
      </w:r>
      <w:bookmarkEnd w:id="7"/>
      <w:bookmarkEnd w:id="8"/>
    </w:p>
    <w:p w14:paraId="55CDDF65" w14:textId="5E3E4753" w:rsidR="007E018A" w:rsidRDefault="00DF5C0F" w:rsidP="00435032">
      <w:pPr>
        <w:rPr>
          <w:lang w:eastAsia="ja-JP"/>
        </w:rPr>
      </w:pPr>
      <w:r>
        <w:rPr>
          <w:lang w:eastAsia="ja-JP"/>
        </w:rPr>
        <w:t>Joint positioning using carrier phase measurements and some other positioning method</w:t>
      </w:r>
      <w:r w:rsidR="00620936">
        <w:rPr>
          <w:lang w:eastAsia="ja-JP"/>
        </w:rPr>
        <w:t xml:space="preserve"> can simplify t</w:t>
      </w:r>
      <w:r>
        <w:rPr>
          <w:lang w:eastAsia="ja-JP"/>
        </w:rPr>
        <w:t>he integer ambiguity problem significantly if e.g.</w:t>
      </w:r>
      <w:r w:rsidR="00400671">
        <w:rPr>
          <w:lang w:eastAsia="ja-JP"/>
        </w:rPr>
        <w:t>,</w:t>
      </w:r>
      <w:r>
        <w:rPr>
          <w:lang w:eastAsia="ja-JP"/>
        </w:rPr>
        <w:t xml:space="preserve"> DL-TDOA can be employed to obtain a first </w:t>
      </w:r>
      <w:proofErr w:type="spellStart"/>
      <w:r>
        <w:rPr>
          <w:lang w:eastAsia="ja-JP"/>
        </w:rPr>
        <w:t>coarse</w:t>
      </w:r>
      <w:proofErr w:type="spellEnd"/>
      <w:r>
        <w:rPr>
          <w:lang w:eastAsia="ja-JP"/>
        </w:rPr>
        <w:t xml:space="preserve"> position estimate, for instance to reduce the search space of a multi-hypothesis integer resolution algorithm.</w:t>
      </w:r>
    </w:p>
    <w:p w14:paraId="3B7DFCC4" w14:textId="42D12115" w:rsidR="00AA002E" w:rsidRPr="00AA002E" w:rsidRDefault="00AA002E" w:rsidP="00AA002E">
      <w:pPr>
        <w:pStyle w:val="Observation"/>
      </w:pPr>
      <w:bookmarkStart w:id="9" w:name="_Toc131706599"/>
      <w:r w:rsidRPr="00AA002E">
        <w:t>The existing positioning measurement reports often has a structure where the measurement is defined for a specific path. It will be natural to extend this structure to include the carrier phase of specific path.</w:t>
      </w:r>
      <w:bookmarkEnd w:id="9"/>
    </w:p>
    <w:p w14:paraId="625169BA" w14:textId="7A7B6283" w:rsidR="00777F4F" w:rsidRPr="00B42D54" w:rsidRDefault="00A5601F" w:rsidP="006169EC">
      <w:pPr>
        <w:pStyle w:val="Proposal"/>
        <w:spacing w:line="259" w:lineRule="auto"/>
      </w:pPr>
      <w:bookmarkStart w:id="10" w:name="_Toc131706601"/>
      <w:r>
        <w:t>Support</w:t>
      </w:r>
      <w:r w:rsidR="00756DC5">
        <w:t xml:space="preserve"> </w:t>
      </w:r>
      <w:r>
        <w:t>to</w:t>
      </w:r>
      <w:r w:rsidR="005E202F">
        <w:t xml:space="preserve"> report</w:t>
      </w:r>
      <w:r>
        <w:t xml:space="preserve"> </w:t>
      </w:r>
      <w:r>
        <w:rPr>
          <w:lang w:val="en-US"/>
        </w:rPr>
        <w:t>DL-PRS carrier phase and/or DL-PRS carrier phase difference of the first detected path</w:t>
      </w:r>
      <w:r w:rsidR="005E202F">
        <w:t xml:space="preserve"> </w:t>
      </w:r>
      <w:r>
        <w:t>with DL-TDOA positioning method</w:t>
      </w:r>
      <w:r w:rsidR="006169EC">
        <w:rPr>
          <w:lang w:val="en-US"/>
        </w:rPr>
        <w:t>, FFS w</w:t>
      </w:r>
      <w:r w:rsidR="006169EC" w:rsidRPr="00483E59">
        <w:rPr>
          <w:lang w:val="en-US"/>
        </w:rPr>
        <w:t>ait for RAN1 and RAN4 progress</w:t>
      </w:r>
      <w:r w:rsidR="006169EC">
        <w:t>.</w:t>
      </w:r>
      <w:bookmarkEnd w:id="10"/>
      <w:r w:rsidR="005E202F">
        <w:t xml:space="preserve"> </w:t>
      </w:r>
    </w:p>
    <w:p w14:paraId="5AE05159" w14:textId="77777777" w:rsidR="00E920D5" w:rsidRPr="00E920D5" w:rsidRDefault="00E920D5" w:rsidP="00E920D5">
      <w:pPr>
        <w:rPr>
          <w:lang w:val="en-US" w:eastAsia="ja-JP"/>
        </w:rPr>
      </w:pPr>
    </w:p>
    <w:p w14:paraId="5C07C221" w14:textId="22964B07" w:rsidR="00C501AB" w:rsidRDefault="00E920D5" w:rsidP="00E920D5">
      <w:pPr>
        <w:pStyle w:val="Heading2"/>
        <w:rPr>
          <w:lang w:val="en-US"/>
        </w:rPr>
      </w:pPr>
      <w:r>
        <w:rPr>
          <w:lang w:val="en-US"/>
        </w:rPr>
        <w:t>2.</w:t>
      </w:r>
      <w:r w:rsidR="003E7F26">
        <w:rPr>
          <w:lang w:val="en-US"/>
        </w:rPr>
        <w:t>3</w:t>
      </w:r>
      <w:r>
        <w:rPr>
          <w:lang w:val="en-US"/>
        </w:rPr>
        <w:t xml:space="preserve"> B</w:t>
      </w:r>
      <w:r w:rsidRPr="00E920D5">
        <w:rPr>
          <w:lang w:val="en-US"/>
        </w:rPr>
        <w:t>andwidth aggregation for positioning</w:t>
      </w:r>
    </w:p>
    <w:p w14:paraId="1E6669FF" w14:textId="1B48E1A7" w:rsidR="006169EC" w:rsidRDefault="006C3C8C" w:rsidP="006169EC">
      <w:pPr>
        <w:rPr>
          <w:lang w:val="en-US" w:eastAsia="ja-JP"/>
        </w:rPr>
      </w:pPr>
      <w:bookmarkStart w:id="11" w:name="_Toc68614629"/>
      <w:bookmarkStart w:id="12" w:name="_Toc68614630"/>
      <w:bookmarkStart w:id="13" w:name="_Toc68614651"/>
      <w:bookmarkEnd w:id="11"/>
      <w:bookmarkEnd w:id="12"/>
      <w:bookmarkEnd w:id="13"/>
      <w:r w:rsidRPr="006C3C8C">
        <w:rPr>
          <w:lang w:val="en-US" w:eastAsia="ja-JP"/>
        </w:rPr>
        <w:t xml:space="preserve">Based on </w:t>
      </w:r>
      <w:r w:rsidR="000B5D8A" w:rsidRPr="000B5D8A">
        <w:rPr>
          <w:lang w:val="en-US" w:eastAsia="ja-JP"/>
        </w:rPr>
        <w:t>Rel. 18 SI</w:t>
      </w:r>
      <w:r w:rsidRPr="006C3C8C">
        <w:rPr>
          <w:lang w:val="en-US" w:eastAsia="ja-JP"/>
        </w:rPr>
        <w:t>, bandwidth aggregation for intra-band contiguous carriers is concluded as feasible for single chain Tx/Rx architectures at both UE and gNB.</w:t>
      </w:r>
    </w:p>
    <w:p w14:paraId="58732F38" w14:textId="77777777" w:rsidR="00BF4AE6" w:rsidRDefault="00AB76A1" w:rsidP="006169EC">
      <w:pPr>
        <w:rPr>
          <w:lang w:val="en-US" w:eastAsia="ja-JP"/>
        </w:rPr>
      </w:pPr>
      <w:r>
        <w:rPr>
          <w:lang w:val="en-US" w:eastAsia="ja-JP"/>
        </w:rPr>
        <w:t xml:space="preserve">From RAN2’s perspective, </w:t>
      </w:r>
      <w:r w:rsidR="000F50AB">
        <w:rPr>
          <w:lang w:val="en-US" w:eastAsia="ja-JP"/>
        </w:rPr>
        <w:t>UE’s capability in terms of b</w:t>
      </w:r>
      <w:r w:rsidR="000F50AB" w:rsidRPr="000F50AB">
        <w:rPr>
          <w:lang w:val="en-US" w:eastAsia="ja-JP"/>
        </w:rPr>
        <w:t>andwidth aggregation for positioning</w:t>
      </w:r>
      <w:r w:rsidR="000F50AB">
        <w:rPr>
          <w:lang w:val="en-US" w:eastAsia="ja-JP"/>
        </w:rPr>
        <w:t xml:space="preserve"> </w:t>
      </w:r>
      <w:r w:rsidR="00B77F6A">
        <w:rPr>
          <w:lang w:val="en-US" w:eastAsia="ja-JP"/>
        </w:rPr>
        <w:t xml:space="preserve">should be added. Besides to </w:t>
      </w:r>
      <w:r w:rsidR="00BF4AE6">
        <w:rPr>
          <w:lang w:val="en-US" w:eastAsia="ja-JP"/>
        </w:rPr>
        <w:t xml:space="preserve">efficiently </w:t>
      </w:r>
      <w:r w:rsidR="00B77F6A">
        <w:rPr>
          <w:lang w:val="en-US" w:eastAsia="ja-JP"/>
        </w:rPr>
        <w:t xml:space="preserve">indicate </w:t>
      </w:r>
      <w:r w:rsidR="003165AF">
        <w:rPr>
          <w:lang w:val="en-US" w:eastAsia="ja-JP"/>
        </w:rPr>
        <w:t xml:space="preserve">DL-PRS that can be aggregated together </w:t>
      </w:r>
      <w:r w:rsidR="00BF4AE6">
        <w:rPr>
          <w:lang w:val="en-US" w:eastAsia="ja-JP"/>
        </w:rPr>
        <w:t>in AD message should also be discussed.</w:t>
      </w:r>
    </w:p>
    <w:p w14:paraId="2C9B78AB" w14:textId="5A096A1E" w:rsidR="00BF4AE6" w:rsidRPr="00B42D54" w:rsidRDefault="00BF4AE6" w:rsidP="00BF4AE6">
      <w:pPr>
        <w:pStyle w:val="Proposal"/>
        <w:spacing w:line="259" w:lineRule="auto"/>
      </w:pPr>
      <w:bookmarkStart w:id="14" w:name="_Toc131706602"/>
      <w:r>
        <w:t xml:space="preserve">RAN2 discuss </w:t>
      </w:r>
      <w:r w:rsidR="009D4EB6">
        <w:t xml:space="preserve">the signalling of UE capability and </w:t>
      </w:r>
      <w:r w:rsidR="00CD3945">
        <w:t xml:space="preserve">mechanism to </w:t>
      </w:r>
      <w:r w:rsidR="00CD3945">
        <w:rPr>
          <w:lang w:val="en-US" w:eastAsia="ja-JP"/>
        </w:rPr>
        <w:t>indicate DL-PRS that can be aggregated together in AD message in b</w:t>
      </w:r>
      <w:r w:rsidR="00CD3945" w:rsidRPr="000F50AB">
        <w:rPr>
          <w:lang w:val="en-US" w:eastAsia="ja-JP"/>
        </w:rPr>
        <w:t>andwidth aggregation for positioning</w:t>
      </w:r>
      <w:r>
        <w:rPr>
          <w:lang w:val="en-US"/>
        </w:rPr>
        <w:t>, FFS w</w:t>
      </w:r>
      <w:r w:rsidRPr="00483E59">
        <w:rPr>
          <w:lang w:val="en-US"/>
        </w:rPr>
        <w:t>ait for RAN1 and RAN4 progress</w:t>
      </w:r>
      <w:r>
        <w:t>.</w:t>
      </w:r>
      <w:bookmarkEnd w:id="14"/>
      <w:r>
        <w:t xml:space="preserve"> </w:t>
      </w:r>
    </w:p>
    <w:p w14:paraId="2C482623" w14:textId="6370F616" w:rsidR="000B5D8A" w:rsidRPr="006169EC" w:rsidRDefault="000B5D8A" w:rsidP="00BF4AE6">
      <w:pPr>
        <w:pStyle w:val="Proposal"/>
        <w:numPr>
          <w:ilvl w:val="0"/>
          <w:numId w:val="0"/>
        </w:numPr>
        <w:ind w:left="1304"/>
        <w:rPr>
          <w:lang w:val="en-US" w:eastAsia="ja-JP"/>
        </w:rPr>
      </w:pPr>
    </w:p>
    <w:p w14:paraId="37EB5693" w14:textId="55728ACB" w:rsidR="00C01F33" w:rsidRPr="00AA3123" w:rsidRDefault="002945E5" w:rsidP="005B7323">
      <w:pPr>
        <w:pStyle w:val="Heading1"/>
        <w:rPr>
          <w:lang w:val="en-US"/>
        </w:rPr>
      </w:pPr>
      <w:r>
        <w:rPr>
          <w:lang w:val="en-US"/>
        </w:rPr>
        <w:t>3</w:t>
      </w:r>
      <w:r w:rsidR="00696C31" w:rsidRPr="00AA3123">
        <w:rPr>
          <w:lang w:val="en-US"/>
        </w:rPr>
        <w:tab/>
      </w:r>
      <w:r w:rsidR="00C01F33" w:rsidRPr="00AA3123">
        <w:rPr>
          <w:lang w:val="en-US"/>
        </w:rPr>
        <w:t>Conclusion</w:t>
      </w:r>
    </w:p>
    <w:p w14:paraId="2C4E18CE" w14:textId="77777777" w:rsidR="00FA09E9" w:rsidRDefault="00FA09E9" w:rsidP="00FA09E9">
      <w:pPr>
        <w:pStyle w:val="BodyText"/>
        <w:rPr>
          <w:b/>
          <w:bCs/>
        </w:rPr>
      </w:pPr>
      <w:r>
        <w:t>In the previous sections</w:t>
      </w:r>
      <w:r w:rsidRPr="00CE0424">
        <w:t xml:space="preserve"> we </w:t>
      </w:r>
      <w:r>
        <w:t>made the following observations</w:t>
      </w:r>
      <w:r w:rsidRPr="00CE0424">
        <w:t>:</w:t>
      </w:r>
      <w:r>
        <w:rPr>
          <w:b/>
          <w:bCs/>
        </w:rPr>
        <w:t xml:space="preserve"> </w:t>
      </w:r>
    </w:p>
    <w:p w14:paraId="7E1A68CB" w14:textId="097B83D6" w:rsidR="007B4B92" w:rsidRDefault="00FA09E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06596" w:history="1">
        <w:r w:rsidR="007B4B92" w:rsidRPr="00173718">
          <w:rPr>
            <w:rStyle w:val="Hyperlink"/>
            <w:noProof/>
            <w:lang w:val="en-US"/>
          </w:rPr>
          <w:t>Observation 1</w:t>
        </w:r>
        <w:r w:rsidR="007B4B92">
          <w:rPr>
            <w:rFonts w:asciiTheme="minorHAnsi" w:eastAsiaTheme="minorEastAsia" w:hAnsiTheme="minorHAnsi" w:cstheme="minorBidi"/>
            <w:b w:val="0"/>
            <w:noProof/>
            <w:sz w:val="22"/>
            <w:szCs w:val="22"/>
            <w:lang w:val="en-SE" w:eastAsia="en-SE"/>
          </w:rPr>
          <w:tab/>
        </w:r>
        <w:r w:rsidR="007B4B92" w:rsidRPr="00173718">
          <w:rPr>
            <w:rStyle w:val="Hyperlink"/>
            <w:noProof/>
            <w:lang w:val="en-US"/>
          </w:rPr>
          <w:t xml:space="preserve">The current LPP Capability IE does not support UE to characterize the capabilities of RX </w:t>
        </w:r>
        <w:r w:rsidR="007B4B92" w:rsidRPr="00173718">
          <w:rPr>
            <w:rStyle w:val="Hyperlink"/>
            <w:rFonts w:cs="Arial"/>
            <w:noProof/>
            <w:lang w:val="en-US"/>
          </w:rPr>
          <w:t>frequency hopping on DL-PRS or TX frequency hopping on UL SRS.</w:t>
        </w:r>
      </w:hyperlink>
    </w:p>
    <w:p w14:paraId="56332BEE" w14:textId="7E19A415" w:rsidR="007B4B92" w:rsidRDefault="00D100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597" w:history="1">
        <w:r w:rsidR="007B4B92" w:rsidRPr="00173718">
          <w:rPr>
            <w:rStyle w:val="Hyperlink"/>
            <w:noProof/>
            <w:lang w:val="en-US"/>
          </w:rPr>
          <w:t>Observation 2</w:t>
        </w:r>
        <w:r w:rsidR="007B4B92">
          <w:rPr>
            <w:rFonts w:asciiTheme="minorHAnsi" w:eastAsiaTheme="minorEastAsia" w:hAnsiTheme="minorHAnsi" w:cstheme="minorBidi"/>
            <w:b w:val="0"/>
            <w:noProof/>
            <w:sz w:val="22"/>
            <w:szCs w:val="22"/>
            <w:lang w:val="en-SE" w:eastAsia="en-SE"/>
          </w:rPr>
          <w:tab/>
        </w:r>
        <w:r w:rsidR="007B4B92" w:rsidRPr="00173718">
          <w:rPr>
            <w:rStyle w:val="Hyperlink"/>
            <w:noProof/>
            <w:lang w:val="en-US"/>
          </w:rPr>
          <w:t>For UL SRS frequency hopping transmission, new or extended signaling to configure the UL SRS configuration are needed between LMF and UE, LMF and gNB, and between UE and gNB.</w:t>
        </w:r>
      </w:hyperlink>
    </w:p>
    <w:p w14:paraId="042930CB" w14:textId="200EC587" w:rsidR="007B4B92" w:rsidRDefault="00D100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598" w:history="1">
        <w:r w:rsidR="007B4B92" w:rsidRPr="00173718">
          <w:rPr>
            <w:rStyle w:val="Hyperlink"/>
            <w:noProof/>
            <w:lang w:val="en-US"/>
          </w:rPr>
          <w:t>Observation 3</w:t>
        </w:r>
        <w:r w:rsidR="007B4B92">
          <w:rPr>
            <w:rFonts w:asciiTheme="minorHAnsi" w:eastAsiaTheme="minorEastAsia" w:hAnsiTheme="minorHAnsi" w:cstheme="minorBidi"/>
            <w:b w:val="0"/>
            <w:noProof/>
            <w:sz w:val="22"/>
            <w:szCs w:val="22"/>
            <w:lang w:val="en-SE" w:eastAsia="en-SE"/>
          </w:rPr>
          <w:tab/>
        </w:r>
        <w:r w:rsidR="007B4B92" w:rsidRPr="00173718">
          <w:rPr>
            <w:rStyle w:val="Hyperlink"/>
            <w:noProof/>
          </w:rPr>
          <w:t xml:space="preserve">A new carrier phase IE needs to be defined for the measurement report in LPP, and </w:t>
        </w:r>
        <w:r w:rsidR="007B4B92" w:rsidRPr="00173718">
          <w:rPr>
            <w:rStyle w:val="Hyperlink"/>
            <w:noProof/>
            <w:lang w:val="en-US"/>
          </w:rPr>
          <w:t>the carrier phase of the first detected path shall be reported.</w:t>
        </w:r>
      </w:hyperlink>
    </w:p>
    <w:p w14:paraId="3B417B5E" w14:textId="6915B03C" w:rsidR="007B4B92" w:rsidRDefault="00D100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599" w:history="1">
        <w:r w:rsidR="007B4B92" w:rsidRPr="00173718">
          <w:rPr>
            <w:rStyle w:val="Hyperlink"/>
            <w:noProof/>
          </w:rPr>
          <w:t>Observation 4</w:t>
        </w:r>
        <w:r w:rsidR="007B4B92">
          <w:rPr>
            <w:rFonts w:asciiTheme="minorHAnsi" w:eastAsiaTheme="minorEastAsia" w:hAnsiTheme="minorHAnsi" w:cstheme="minorBidi"/>
            <w:b w:val="0"/>
            <w:noProof/>
            <w:sz w:val="22"/>
            <w:szCs w:val="22"/>
            <w:lang w:val="en-SE" w:eastAsia="en-SE"/>
          </w:rPr>
          <w:tab/>
        </w:r>
        <w:r w:rsidR="007B4B92" w:rsidRPr="00173718">
          <w:rPr>
            <w:rStyle w:val="Hyperlink"/>
            <w:noProof/>
          </w:rPr>
          <w:t>The existing positioning measurement reports often has a structure where the measurement is defined for a specific path. It will be natural to extend this structure to include the carrier phase of specific path.</w:t>
        </w:r>
      </w:hyperlink>
    </w:p>
    <w:p w14:paraId="7EF90BD6" w14:textId="5A2691A6" w:rsidR="00A67853" w:rsidRDefault="00FA09E9" w:rsidP="00FA09E9">
      <w:pPr>
        <w:pStyle w:val="BodyText"/>
        <w:rPr>
          <w:b/>
          <w:bCs/>
        </w:rPr>
      </w:pPr>
      <w:r>
        <w:rPr>
          <w:b/>
          <w:bCs/>
        </w:rPr>
        <w:fldChar w:fldCharType="end"/>
      </w:r>
    </w:p>
    <w:p w14:paraId="5798AF5B" w14:textId="5723441E" w:rsidR="00235E81" w:rsidRPr="00FE68B6" w:rsidRDefault="00FE68B6" w:rsidP="00FA09E9">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6BEC0324" w14:textId="2D63CB88" w:rsidR="007B4B9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31706600" w:history="1">
        <w:r w:rsidR="007B4B92" w:rsidRPr="004636BC">
          <w:rPr>
            <w:rStyle w:val="Hyperlink"/>
            <w:noProof/>
          </w:rPr>
          <w:t>Proposal 1</w:t>
        </w:r>
        <w:r w:rsidR="007B4B92">
          <w:rPr>
            <w:rFonts w:asciiTheme="minorHAnsi" w:eastAsiaTheme="minorEastAsia" w:hAnsiTheme="minorHAnsi" w:cstheme="minorBidi"/>
            <w:b w:val="0"/>
            <w:noProof/>
            <w:sz w:val="22"/>
            <w:szCs w:val="22"/>
            <w:lang w:val="en-SE" w:eastAsia="en-SE"/>
          </w:rPr>
          <w:tab/>
        </w:r>
        <w:r w:rsidR="007B4B92" w:rsidRPr="004636BC">
          <w:rPr>
            <w:rStyle w:val="Hyperlink"/>
            <w:noProof/>
            <w:lang w:val="en-US"/>
          </w:rPr>
          <w:t>RAN2 if IEs for NB-IoT can be taken as baseline of the potential signaling to support UE RX frequency hopping on DL-PRS and TX frequency hopping on UL SRS. FFS wait for RAN1 and RAN4 progress</w:t>
        </w:r>
        <w:r w:rsidR="007B4B92" w:rsidRPr="004636BC">
          <w:rPr>
            <w:rStyle w:val="Hyperlink"/>
            <w:noProof/>
          </w:rPr>
          <w:t>.</w:t>
        </w:r>
      </w:hyperlink>
    </w:p>
    <w:p w14:paraId="58416D25" w14:textId="25220E3D" w:rsidR="007B4B92" w:rsidRDefault="00D100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601" w:history="1">
        <w:r w:rsidR="007B4B92" w:rsidRPr="004636BC">
          <w:rPr>
            <w:rStyle w:val="Hyperlink"/>
            <w:noProof/>
          </w:rPr>
          <w:t>Proposal 2</w:t>
        </w:r>
        <w:r w:rsidR="007B4B92">
          <w:rPr>
            <w:rFonts w:asciiTheme="minorHAnsi" w:eastAsiaTheme="minorEastAsia" w:hAnsiTheme="minorHAnsi" w:cstheme="minorBidi"/>
            <w:b w:val="0"/>
            <w:noProof/>
            <w:sz w:val="22"/>
            <w:szCs w:val="22"/>
            <w:lang w:val="en-SE" w:eastAsia="en-SE"/>
          </w:rPr>
          <w:tab/>
        </w:r>
        <w:r w:rsidR="007B4B92" w:rsidRPr="004636BC">
          <w:rPr>
            <w:rStyle w:val="Hyperlink"/>
            <w:noProof/>
          </w:rPr>
          <w:t xml:space="preserve">Support to report </w:t>
        </w:r>
        <w:r w:rsidR="007B4B92" w:rsidRPr="004636BC">
          <w:rPr>
            <w:rStyle w:val="Hyperlink"/>
            <w:noProof/>
            <w:lang w:val="en-US"/>
          </w:rPr>
          <w:t>DL-PRS carrier phase and/or DL-PRS carrier phase difference of the first detected path</w:t>
        </w:r>
        <w:r w:rsidR="007B4B92" w:rsidRPr="004636BC">
          <w:rPr>
            <w:rStyle w:val="Hyperlink"/>
            <w:noProof/>
          </w:rPr>
          <w:t xml:space="preserve"> with DL-TDOA positioning method</w:t>
        </w:r>
        <w:r w:rsidR="007B4B92" w:rsidRPr="004636BC">
          <w:rPr>
            <w:rStyle w:val="Hyperlink"/>
            <w:noProof/>
            <w:lang w:val="en-US"/>
          </w:rPr>
          <w:t>, FFS wait for RAN1 and RAN4 progress</w:t>
        </w:r>
        <w:r w:rsidR="007B4B92" w:rsidRPr="004636BC">
          <w:rPr>
            <w:rStyle w:val="Hyperlink"/>
            <w:noProof/>
          </w:rPr>
          <w:t>.</w:t>
        </w:r>
      </w:hyperlink>
    </w:p>
    <w:p w14:paraId="61050206" w14:textId="733B9C65" w:rsidR="007B4B92" w:rsidRDefault="00D100A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06602" w:history="1">
        <w:r w:rsidR="007B4B92" w:rsidRPr="004636BC">
          <w:rPr>
            <w:rStyle w:val="Hyperlink"/>
            <w:noProof/>
          </w:rPr>
          <w:t>Proposal 3</w:t>
        </w:r>
        <w:r w:rsidR="007B4B92">
          <w:rPr>
            <w:rFonts w:asciiTheme="minorHAnsi" w:eastAsiaTheme="minorEastAsia" w:hAnsiTheme="minorHAnsi" w:cstheme="minorBidi"/>
            <w:b w:val="0"/>
            <w:noProof/>
            <w:sz w:val="22"/>
            <w:szCs w:val="22"/>
            <w:lang w:val="en-SE" w:eastAsia="en-SE"/>
          </w:rPr>
          <w:tab/>
        </w:r>
        <w:r w:rsidR="007B4B92" w:rsidRPr="004636BC">
          <w:rPr>
            <w:rStyle w:val="Hyperlink"/>
            <w:noProof/>
          </w:rPr>
          <w:t xml:space="preserve">RAN2 discuss the signalling of UE capability and mechanism to </w:t>
        </w:r>
        <w:r w:rsidR="007B4B92" w:rsidRPr="004636BC">
          <w:rPr>
            <w:rStyle w:val="Hyperlink"/>
            <w:noProof/>
            <w:lang w:val="en-US" w:eastAsia="ja-JP"/>
          </w:rPr>
          <w:t>indicate DL-PRS that can be aggregated together in AD message in bandwidth aggregation for positioning</w:t>
        </w:r>
        <w:r w:rsidR="007B4B92" w:rsidRPr="004636BC">
          <w:rPr>
            <w:rStyle w:val="Hyperlink"/>
            <w:noProof/>
            <w:lang w:val="en-US"/>
          </w:rPr>
          <w:t>, FFS wait for RAN1 and RAN4 progress</w:t>
        </w:r>
        <w:r w:rsidR="007B4B92" w:rsidRPr="004636BC">
          <w:rPr>
            <w:rStyle w:val="Hyperlink"/>
            <w:noProof/>
          </w:rPr>
          <w:t>.</w:t>
        </w:r>
      </w:hyperlink>
    </w:p>
    <w:p w14:paraId="71D79D99" w14:textId="182B9B5D" w:rsidR="00F507D1" w:rsidRPr="008E3596" w:rsidRDefault="006E1C82" w:rsidP="00CE0424">
      <w:pPr>
        <w:pStyle w:val="Heading1"/>
        <w:rPr>
          <w:lang w:val="en-US"/>
        </w:rPr>
      </w:pPr>
      <w:r w:rsidRPr="008E3596">
        <w:rPr>
          <w:b/>
          <w:bCs/>
          <w:lang w:val="en-US" w:eastAsia="zh-CN"/>
        </w:rPr>
        <w:fldChar w:fldCharType="end"/>
      </w:r>
      <w:bookmarkStart w:id="15" w:name="_In-sequence_SDU_delivery"/>
      <w:bookmarkEnd w:id="15"/>
      <w:r w:rsidR="00F507D1" w:rsidRPr="008E3596">
        <w:rPr>
          <w:lang w:val="en-US"/>
        </w:rPr>
        <w:t>References</w:t>
      </w:r>
    </w:p>
    <w:p w14:paraId="07E37F6E" w14:textId="77777777" w:rsidR="001D268C" w:rsidRDefault="001D268C" w:rsidP="001D268C">
      <w:pPr>
        <w:pStyle w:val="Reference"/>
      </w:pPr>
      <w:bookmarkStart w:id="16" w:name="_Ref127357869"/>
      <w:bookmarkStart w:id="17" w:name="_Ref99625083"/>
      <w:bookmarkStart w:id="18" w:name="_Ref71549373"/>
      <w:bookmarkStart w:id="19" w:name="_Ref65143491"/>
      <w:bookmarkStart w:id="20" w:name="_Ref174151459"/>
      <w:bookmarkStart w:id="21"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16"/>
    </w:p>
    <w:bookmarkEnd w:id="17"/>
    <w:bookmarkEnd w:id="18"/>
    <w:bookmarkEnd w:id="19"/>
    <w:bookmarkEnd w:id="20"/>
    <w:bookmarkEnd w:id="21"/>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133" w14:textId="77777777" w:rsidR="00C76EA9" w:rsidRDefault="00C76EA9">
      <w:r>
        <w:separator/>
      </w:r>
    </w:p>
  </w:endnote>
  <w:endnote w:type="continuationSeparator" w:id="0">
    <w:p w14:paraId="3DDA29FF" w14:textId="77777777" w:rsidR="00C76EA9" w:rsidRDefault="00C76EA9">
      <w:r>
        <w:continuationSeparator/>
      </w:r>
    </w:p>
  </w:endnote>
  <w:endnote w:type="continuationNotice" w:id="1">
    <w:p w14:paraId="49CBDAEC" w14:textId="77777777" w:rsidR="00C76EA9" w:rsidRDefault="00C7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E60F" w14:textId="77777777" w:rsidR="00C76EA9" w:rsidRDefault="00C76EA9">
      <w:r>
        <w:separator/>
      </w:r>
    </w:p>
  </w:footnote>
  <w:footnote w:type="continuationSeparator" w:id="0">
    <w:p w14:paraId="1F53AA35" w14:textId="77777777" w:rsidR="00C76EA9" w:rsidRDefault="00C76EA9">
      <w:r>
        <w:continuationSeparator/>
      </w:r>
    </w:p>
  </w:footnote>
  <w:footnote w:type="continuationNotice" w:id="1">
    <w:p w14:paraId="34F96831" w14:textId="77777777" w:rsidR="00C76EA9" w:rsidRDefault="00C76E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6F5595"/>
    <w:multiLevelType w:val="multilevel"/>
    <w:tmpl w:val="E57099F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AD110A"/>
    <w:multiLevelType w:val="multilevel"/>
    <w:tmpl w:val="9D00704C"/>
    <w:lvl w:ilvl="0">
      <w:start w:val="1"/>
      <w:numFmt w:val="bullet"/>
      <w:lvlText w:val=""/>
      <w:lvlJc w:val="left"/>
      <w:pPr>
        <w:ind w:left="360" w:hanging="360"/>
      </w:pPr>
      <w:rPr>
        <w:rFonts w:ascii="Symbol" w:hAnsi="Symbol"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04FB4"/>
    <w:multiLevelType w:val="multilevel"/>
    <w:tmpl w:val="CBAE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C2621"/>
    <w:multiLevelType w:val="hybridMultilevel"/>
    <w:tmpl w:val="FF54C0C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C253DBD"/>
    <w:multiLevelType w:val="hybridMultilevel"/>
    <w:tmpl w:val="B5F65038"/>
    <w:lvl w:ilvl="0" w:tplc="04090001">
      <w:numFmt w:val="decimal"/>
      <w:lvlText w:val=""/>
      <w:lvlJc w:val="left"/>
    </w:lvl>
    <w:lvl w:ilvl="1" w:tplc="04090003">
      <w:numFmt w:val="decimal"/>
      <w:lvlText w:val=""/>
      <w:lvlJc w:val="left"/>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7"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0957BD4"/>
    <w:multiLevelType w:val="hybridMultilevel"/>
    <w:tmpl w:val="28E08BB0"/>
    <w:lvl w:ilvl="0" w:tplc="08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3693592">
    <w:abstractNumId w:val="20"/>
  </w:num>
  <w:num w:numId="2" w16cid:durableId="1739404150">
    <w:abstractNumId w:val="19"/>
  </w:num>
  <w:num w:numId="3" w16cid:durableId="2146269329">
    <w:abstractNumId w:val="0"/>
  </w:num>
  <w:num w:numId="4" w16cid:durableId="2631664">
    <w:abstractNumId w:val="22"/>
  </w:num>
  <w:num w:numId="5" w16cid:durableId="635988966">
    <w:abstractNumId w:val="24"/>
  </w:num>
  <w:num w:numId="6" w16cid:durableId="946424633">
    <w:abstractNumId w:val="9"/>
  </w:num>
  <w:num w:numId="7" w16cid:durableId="1078016235">
    <w:abstractNumId w:val="10"/>
  </w:num>
  <w:num w:numId="8" w16cid:durableId="2117938832">
    <w:abstractNumId w:val="6"/>
  </w:num>
  <w:num w:numId="9" w16cid:durableId="1863741586">
    <w:abstractNumId w:val="32"/>
  </w:num>
  <w:num w:numId="10" w16cid:durableId="803230471">
    <w:abstractNumId w:val="17"/>
  </w:num>
  <w:num w:numId="11" w16cid:durableId="255596159">
    <w:abstractNumId w:val="30"/>
  </w:num>
  <w:num w:numId="12" w16cid:durableId="596904948">
    <w:abstractNumId w:val="13"/>
  </w:num>
  <w:num w:numId="13" w16cid:durableId="2076050027">
    <w:abstractNumId w:val="21"/>
  </w:num>
  <w:num w:numId="14" w16cid:durableId="1241984492">
    <w:abstractNumId w:val="5"/>
  </w:num>
  <w:num w:numId="15" w16cid:durableId="1979333552">
    <w:abstractNumId w:val="4"/>
  </w:num>
  <w:num w:numId="16" w16cid:durableId="1130174937">
    <w:abstractNumId w:val="2"/>
  </w:num>
  <w:num w:numId="17" w16cid:durableId="315232626">
    <w:abstractNumId w:val="31"/>
  </w:num>
  <w:num w:numId="18" w16cid:durableId="2072533880">
    <w:abstractNumId w:val="19"/>
  </w:num>
  <w:num w:numId="19" w16cid:durableId="1802113695">
    <w:abstractNumId w:val="19"/>
  </w:num>
  <w:num w:numId="20" w16cid:durableId="1066337806">
    <w:abstractNumId w:val="18"/>
  </w:num>
  <w:num w:numId="21" w16cid:durableId="421992137">
    <w:abstractNumId w:val="25"/>
  </w:num>
  <w:num w:numId="22" w16cid:durableId="1422141409">
    <w:abstractNumId w:val="27"/>
  </w:num>
  <w:num w:numId="23" w16cid:durableId="1500660830">
    <w:abstractNumId w:val="28"/>
  </w:num>
  <w:num w:numId="24" w16cid:durableId="1037463893">
    <w:abstractNumId w:val="15"/>
  </w:num>
  <w:num w:numId="25" w16cid:durableId="1567455484">
    <w:abstractNumId w:val="26"/>
  </w:num>
  <w:num w:numId="26" w16cid:durableId="1066150439">
    <w:abstractNumId w:val="3"/>
  </w:num>
  <w:num w:numId="27" w16cid:durableId="369302502">
    <w:abstractNumId w:val="7"/>
  </w:num>
  <w:num w:numId="28" w16cid:durableId="1868329311">
    <w:abstractNumId w:val="12"/>
  </w:num>
  <w:num w:numId="29" w16cid:durableId="1239831417">
    <w:abstractNumId w:val="20"/>
  </w:num>
  <w:num w:numId="30" w16cid:durableId="1802189171">
    <w:abstractNumId w:val="23"/>
  </w:num>
  <w:num w:numId="31" w16cid:durableId="1821117337">
    <w:abstractNumId w:val="8"/>
  </w:num>
  <w:num w:numId="32" w16cid:durableId="1651522582">
    <w:abstractNumId w:val="11"/>
  </w:num>
  <w:num w:numId="33" w16cid:durableId="752968178">
    <w:abstractNumId w:val="1"/>
  </w:num>
  <w:num w:numId="34" w16cid:durableId="799882989">
    <w:abstractNumId w:val="33"/>
  </w:num>
  <w:num w:numId="35" w16cid:durableId="413014990">
    <w:abstractNumId w:val="16"/>
  </w:num>
  <w:num w:numId="36" w16cid:durableId="1443263495">
    <w:abstractNumId w:val="29"/>
  </w:num>
  <w:num w:numId="37" w16cid:durableId="957446156">
    <w:abstractNumId w:val="34"/>
  </w:num>
  <w:num w:numId="38" w16cid:durableId="44704899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3AB0"/>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74C"/>
    <w:rsid w:val="000F38E8"/>
    <w:rsid w:val="000F3A17"/>
    <w:rsid w:val="000F3BE9"/>
    <w:rsid w:val="000F3F6C"/>
    <w:rsid w:val="000F4814"/>
    <w:rsid w:val="000F4B67"/>
    <w:rsid w:val="000F50AB"/>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CC2"/>
    <w:rsid w:val="00162E3D"/>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637D"/>
    <w:rsid w:val="00186E1D"/>
    <w:rsid w:val="00186E8A"/>
    <w:rsid w:val="001871F3"/>
    <w:rsid w:val="00190AC1"/>
    <w:rsid w:val="0019177E"/>
    <w:rsid w:val="0019181D"/>
    <w:rsid w:val="001922A8"/>
    <w:rsid w:val="00192EC0"/>
    <w:rsid w:val="0019341A"/>
    <w:rsid w:val="001934B5"/>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496"/>
    <w:rsid w:val="001C3B31"/>
    <w:rsid w:val="001C3C20"/>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619E"/>
    <w:rsid w:val="001F662C"/>
    <w:rsid w:val="001F69AD"/>
    <w:rsid w:val="001F7074"/>
    <w:rsid w:val="001F7398"/>
    <w:rsid w:val="001F77B7"/>
    <w:rsid w:val="00200490"/>
    <w:rsid w:val="00201F3A"/>
    <w:rsid w:val="00202243"/>
    <w:rsid w:val="00202679"/>
    <w:rsid w:val="00202B34"/>
    <w:rsid w:val="00202E0F"/>
    <w:rsid w:val="00202F66"/>
    <w:rsid w:val="0020390B"/>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6C46"/>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A3A"/>
    <w:rsid w:val="002563DC"/>
    <w:rsid w:val="0025680A"/>
    <w:rsid w:val="00256AD9"/>
    <w:rsid w:val="00256C48"/>
    <w:rsid w:val="00256D3B"/>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962"/>
    <w:rsid w:val="002B1B5A"/>
    <w:rsid w:val="002B2219"/>
    <w:rsid w:val="002B23FA"/>
    <w:rsid w:val="002B24D6"/>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98A"/>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49CF"/>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E5"/>
    <w:rsid w:val="003C003B"/>
    <w:rsid w:val="003C0096"/>
    <w:rsid w:val="003C11C8"/>
    <w:rsid w:val="003C12F5"/>
    <w:rsid w:val="003C1E0C"/>
    <w:rsid w:val="003C23A9"/>
    <w:rsid w:val="003C2702"/>
    <w:rsid w:val="003C2AE6"/>
    <w:rsid w:val="003C38B3"/>
    <w:rsid w:val="003C3A3B"/>
    <w:rsid w:val="003C4120"/>
    <w:rsid w:val="003C4376"/>
    <w:rsid w:val="003C4385"/>
    <w:rsid w:val="003C440A"/>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3A"/>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42F1"/>
    <w:rsid w:val="003F4F8E"/>
    <w:rsid w:val="003F5C2E"/>
    <w:rsid w:val="003F6438"/>
    <w:rsid w:val="003F6551"/>
    <w:rsid w:val="003F6BBE"/>
    <w:rsid w:val="003F6BF2"/>
    <w:rsid w:val="003F6EBF"/>
    <w:rsid w:val="003F7CBE"/>
    <w:rsid w:val="004000E8"/>
    <w:rsid w:val="004002A6"/>
    <w:rsid w:val="00400671"/>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43FB"/>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D44"/>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429F"/>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724"/>
    <w:rsid w:val="004F7D10"/>
    <w:rsid w:val="00500716"/>
    <w:rsid w:val="00501589"/>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2EAB"/>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451"/>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7C9"/>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AD2"/>
    <w:rsid w:val="00693963"/>
    <w:rsid w:val="006940AF"/>
    <w:rsid w:val="0069490C"/>
    <w:rsid w:val="006954BC"/>
    <w:rsid w:val="00695D2B"/>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15E"/>
    <w:rsid w:val="00743220"/>
    <w:rsid w:val="007433D0"/>
    <w:rsid w:val="00743581"/>
    <w:rsid w:val="007436F7"/>
    <w:rsid w:val="007437A1"/>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5281"/>
    <w:rsid w:val="00765DEA"/>
    <w:rsid w:val="007661CE"/>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70A7"/>
    <w:rsid w:val="007A0F02"/>
    <w:rsid w:val="007A0F67"/>
    <w:rsid w:val="007A0FA5"/>
    <w:rsid w:val="007A13B3"/>
    <w:rsid w:val="007A1C6B"/>
    <w:rsid w:val="007A1CB3"/>
    <w:rsid w:val="007A2035"/>
    <w:rsid w:val="007A306F"/>
    <w:rsid w:val="007A307E"/>
    <w:rsid w:val="007A3BD3"/>
    <w:rsid w:val="007A43A6"/>
    <w:rsid w:val="007A44B6"/>
    <w:rsid w:val="007A53E0"/>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B92"/>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289"/>
    <w:rsid w:val="007F25C2"/>
    <w:rsid w:val="007F2E0A"/>
    <w:rsid w:val="007F395D"/>
    <w:rsid w:val="007F3BD2"/>
    <w:rsid w:val="007F581C"/>
    <w:rsid w:val="007F5B5B"/>
    <w:rsid w:val="007F5E30"/>
    <w:rsid w:val="007F600D"/>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900"/>
    <w:rsid w:val="00820D58"/>
    <w:rsid w:val="0082146D"/>
    <w:rsid w:val="00821820"/>
    <w:rsid w:val="00821F5C"/>
    <w:rsid w:val="008223AD"/>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1021"/>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579A0"/>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2B8C"/>
    <w:rsid w:val="00883974"/>
    <w:rsid w:val="00884159"/>
    <w:rsid w:val="008850C3"/>
    <w:rsid w:val="0088532A"/>
    <w:rsid w:val="008856D8"/>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9F4"/>
    <w:rsid w:val="00894A88"/>
    <w:rsid w:val="00894DA6"/>
    <w:rsid w:val="00895386"/>
    <w:rsid w:val="00895DF4"/>
    <w:rsid w:val="00895EE2"/>
    <w:rsid w:val="008968F6"/>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62D"/>
    <w:rsid w:val="008F67D3"/>
    <w:rsid w:val="008F69A4"/>
    <w:rsid w:val="008F6EA1"/>
    <w:rsid w:val="008F6F54"/>
    <w:rsid w:val="008F7700"/>
    <w:rsid w:val="008F7986"/>
    <w:rsid w:val="008F7AD3"/>
    <w:rsid w:val="0090073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7EB"/>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1FD"/>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6C9"/>
    <w:rsid w:val="00A10E85"/>
    <w:rsid w:val="00A1188B"/>
    <w:rsid w:val="00A11EEC"/>
    <w:rsid w:val="00A120D5"/>
    <w:rsid w:val="00A13E54"/>
    <w:rsid w:val="00A1413A"/>
    <w:rsid w:val="00A1438F"/>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0E21"/>
    <w:rsid w:val="00A40F44"/>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01F"/>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6C9"/>
    <w:rsid w:val="00A80AB0"/>
    <w:rsid w:val="00A811D2"/>
    <w:rsid w:val="00A8155F"/>
    <w:rsid w:val="00A81734"/>
    <w:rsid w:val="00A8197D"/>
    <w:rsid w:val="00A81E1F"/>
    <w:rsid w:val="00A81FBF"/>
    <w:rsid w:val="00A82492"/>
    <w:rsid w:val="00A82615"/>
    <w:rsid w:val="00A8291F"/>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1E1"/>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E7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EE"/>
    <w:rsid w:val="00B713D8"/>
    <w:rsid w:val="00B716CA"/>
    <w:rsid w:val="00B71EF1"/>
    <w:rsid w:val="00B727E3"/>
    <w:rsid w:val="00B7291E"/>
    <w:rsid w:val="00B7325F"/>
    <w:rsid w:val="00B739F6"/>
    <w:rsid w:val="00B73A81"/>
    <w:rsid w:val="00B74AEA"/>
    <w:rsid w:val="00B74CF8"/>
    <w:rsid w:val="00B75C7B"/>
    <w:rsid w:val="00B75FEE"/>
    <w:rsid w:val="00B765FB"/>
    <w:rsid w:val="00B76975"/>
    <w:rsid w:val="00B76E38"/>
    <w:rsid w:val="00B771EF"/>
    <w:rsid w:val="00B77284"/>
    <w:rsid w:val="00B7761D"/>
    <w:rsid w:val="00B77B18"/>
    <w:rsid w:val="00B77F6A"/>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BA3"/>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6F7"/>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6EA9"/>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7FF"/>
    <w:rsid w:val="00CA6866"/>
    <w:rsid w:val="00CA689C"/>
    <w:rsid w:val="00CA68F8"/>
    <w:rsid w:val="00CA7884"/>
    <w:rsid w:val="00CA7913"/>
    <w:rsid w:val="00CA7F59"/>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1A0"/>
    <w:rsid w:val="00DE2893"/>
    <w:rsid w:val="00DE28B9"/>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7565"/>
    <w:rsid w:val="00E57FB5"/>
    <w:rsid w:val="00E600EA"/>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80E1E"/>
    <w:rsid w:val="00E814DD"/>
    <w:rsid w:val="00E82146"/>
    <w:rsid w:val="00E8234C"/>
    <w:rsid w:val="00E82584"/>
    <w:rsid w:val="00E832C8"/>
    <w:rsid w:val="00E83334"/>
    <w:rsid w:val="00E83956"/>
    <w:rsid w:val="00E83AA9"/>
    <w:rsid w:val="00E83BF8"/>
    <w:rsid w:val="00E83FFE"/>
    <w:rsid w:val="00E84088"/>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D3"/>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2DC"/>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49"/>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BCA"/>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9E9"/>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5F0"/>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2E95"/>
    <w:rsid w:val="00FE3092"/>
    <w:rsid w:val="00FE32D2"/>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4C7FC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E1E731C-7B4C-459C-9A74-16BC75FB3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AD"/>
    <w:rPr>
      <w:rFonts w:ascii="Times New Roman" w:eastAsia="Times New Roman" w:hAnsi="Times New Roman"/>
      <w:sz w:val="24"/>
      <w:szCs w:val="24"/>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A65D81C-D283-443D-9E03-E5AF23500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http://schemas.microsoft.com/sharepoint/v3"/>
    <ds:schemaRef ds:uri="http://schemas.openxmlformats.org/package/2006/metadata/core-properties"/>
    <ds:schemaRef ds:uri="d8762117-8292-4133-b1c7-eab5c6487cfd"/>
    <ds:schemaRef ds:uri="http://purl.org/dc/terms/"/>
    <ds:schemaRef ds:uri="http://purl.org/dc/elements/1.1/"/>
    <ds:schemaRef ds:uri="http://www.w3.org/XML/1998/namespace"/>
    <ds:schemaRef ds:uri="2f282d3b-eb4a-4b09-b61f-b9593442e286"/>
    <ds:schemaRef ds:uri="http://schemas.microsoft.com/office/2006/metadata/properties"/>
    <ds:schemaRef ds:uri="9b239327-9e80-40e4-b1b7-4394fed77a33"/>
    <ds:schemaRef ds:uri="http://schemas.microsoft.com/office/infopath/2007/PartnerControl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2022-08-12T16:24:00Z</cp:lastPrinted>
  <dcterms:created xsi:type="dcterms:W3CDTF">2023-04-06T19:02:00Z</dcterms:created>
  <dcterms:modified xsi:type="dcterms:W3CDTF">2023-04-06T19:02:00Z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